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A8AA7">
      <w:pPr>
        <w:adjustRightInd w:val="0"/>
        <w:spacing w:line="600" w:lineRule="exact"/>
        <w:ind w:right="641"/>
        <w:rPr>
          <w:rFonts w:ascii="黑体" w:eastAsia="黑体"/>
          <w:sz w:val="32"/>
          <w:szCs w:val="32"/>
        </w:rPr>
      </w:pPr>
      <w:r>
        <w:rPr>
          <w:rFonts w:hint="eastAsia" w:ascii="黑体" w:eastAsia="黑体"/>
          <w:sz w:val="32"/>
          <w:szCs w:val="32"/>
        </w:rPr>
        <w:t>附件2</w:t>
      </w:r>
    </w:p>
    <w:p w14:paraId="2E813F2F">
      <w:pPr>
        <w:adjustRightInd w:val="0"/>
        <w:spacing w:line="600" w:lineRule="exact"/>
        <w:ind w:right="641"/>
        <w:jc w:val="center"/>
        <w:rPr>
          <w:rFonts w:eastAsia="方正小标宋_GBK"/>
          <w:sz w:val="36"/>
          <w:szCs w:val="36"/>
        </w:rPr>
      </w:pPr>
      <w:r>
        <w:rPr>
          <w:rFonts w:hint="eastAsia" w:eastAsia="方正小标宋_GBK"/>
          <w:sz w:val="36"/>
          <w:szCs w:val="36"/>
        </w:rPr>
        <w:t>邵阳市统计局2021年度</w:t>
      </w:r>
    </w:p>
    <w:p w14:paraId="2169AF46">
      <w:pPr>
        <w:adjustRightInd w:val="0"/>
        <w:spacing w:line="600" w:lineRule="exact"/>
        <w:ind w:right="641"/>
        <w:jc w:val="center"/>
        <w:rPr>
          <w:rFonts w:eastAsia="方正小标宋_GBK"/>
          <w:sz w:val="36"/>
          <w:szCs w:val="36"/>
        </w:rPr>
      </w:pP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14:paraId="515D0531">
      <w:pPr>
        <w:adjustRightInd w:val="0"/>
        <w:spacing w:line="600" w:lineRule="exact"/>
        <w:ind w:right="26" w:firstLine="640" w:firstLineChars="200"/>
        <w:rPr>
          <w:rFonts w:eastAsia="仿宋_GB2312"/>
          <w:sz w:val="32"/>
          <w:szCs w:val="32"/>
        </w:rPr>
      </w:pPr>
    </w:p>
    <w:p w14:paraId="474CF575">
      <w:pPr>
        <w:adjustRightInd w:val="0"/>
        <w:spacing w:line="600" w:lineRule="exact"/>
        <w:ind w:right="26" w:firstLine="640" w:firstLineChars="200"/>
        <w:rPr>
          <w:rFonts w:eastAsia="仿宋_GB2312"/>
          <w:sz w:val="32"/>
          <w:szCs w:val="32"/>
        </w:rPr>
      </w:pPr>
      <w:r>
        <w:rPr>
          <w:rFonts w:eastAsia="仿宋_GB2312"/>
          <w:sz w:val="32"/>
          <w:szCs w:val="32"/>
        </w:rPr>
        <w:t>为了全面实施财政</w:t>
      </w:r>
      <w:bookmarkStart w:id="0" w:name="_GoBack"/>
      <w:bookmarkEnd w:id="0"/>
      <w:r>
        <w:rPr>
          <w:rFonts w:eastAsia="仿宋_GB2312"/>
          <w:sz w:val="32"/>
          <w:szCs w:val="32"/>
        </w:rPr>
        <w:t>资金预算绩效管理，切实提高财政资金使用效益，进一步提高财政资金科学化精细化管理水平。根据《邵阳市财政局关于开展20</w:t>
      </w:r>
      <w:r>
        <w:rPr>
          <w:rFonts w:hint="eastAsia" w:eastAsia="仿宋_GB2312"/>
          <w:sz w:val="32"/>
          <w:szCs w:val="32"/>
        </w:rPr>
        <w:t>21</w:t>
      </w:r>
      <w:r>
        <w:rPr>
          <w:rFonts w:eastAsia="仿宋_GB2312"/>
          <w:sz w:val="32"/>
          <w:szCs w:val="32"/>
        </w:rPr>
        <w:t>年度部门整体支出绩效自评工作的通知》（邵财绩〔20</w:t>
      </w:r>
      <w:r>
        <w:rPr>
          <w:rFonts w:hint="eastAsia" w:eastAsia="仿宋_GB2312"/>
          <w:sz w:val="32"/>
          <w:szCs w:val="32"/>
        </w:rPr>
        <w:t>22</w:t>
      </w:r>
      <w:r>
        <w:rPr>
          <w:rFonts w:eastAsia="仿宋_GB2312"/>
          <w:sz w:val="32"/>
          <w:szCs w:val="32"/>
        </w:rPr>
        <w:t>〕2</w:t>
      </w:r>
      <w:r>
        <w:rPr>
          <w:rFonts w:hint="eastAsia" w:eastAsia="仿宋_GB2312"/>
          <w:sz w:val="32"/>
          <w:szCs w:val="32"/>
        </w:rPr>
        <w:t>号</w:t>
      </w:r>
      <w:r>
        <w:rPr>
          <w:rFonts w:eastAsia="仿宋_GB2312"/>
          <w:sz w:val="32"/>
          <w:szCs w:val="32"/>
        </w:rPr>
        <w:t>）文件精神，结合实际，现将我局20</w:t>
      </w:r>
      <w:r>
        <w:rPr>
          <w:rFonts w:hint="eastAsia" w:eastAsia="仿宋_GB2312"/>
          <w:sz w:val="32"/>
          <w:szCs w:val="32"/>
        </w:rPr>
        <w:t>21</w:t>
      </w:r>
      <w:r>
        <w:rPr>
          <w:rFonts w:eastAsia="仿宋_GB2312"/>
          <w:sz w:val="32"/>
          <w:szCs w:val="32"/>
        </w:rPr>
        <w:t xml:space="preserve">年度部门整体支出绩效自评结果报告如下： </w:t>
      </w:r>
    </w:p>
    <w:p w14:paraId="116849B9">
      <w:pPr>
        <w:adjustRightInd w:val="0"/>
        <w:spacing w:line="600" w:lineRule="exact"/>
        <w:ind w:right="641"/>
        <w:rPr>
          <w:rFonts w:eastAsia="仿宋_GB2312"/>
          <w:sz w:val="32"/>
          <w:szCs w:val="32"/>
        </w:rPr>
      </w:pPr>
    </w:p>
    <w:p w14:paraId="2CA09EF6">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14:paraId="135F9CC0">
      <w:pPr>
        <w:adjustRightInd w:val="0"/>
        <w:snapToGrid w:val="0"/>
        <w:spacing w:line="600" w:lineRule="exact"/>
        <w:ind w:firstLine="640" w:firstLineChars="200"/>
        <w:rPr>
          <w:rFonts w:eastAsia="仿宋_GB2312"/>
          <w:sz w:val="32"/>
          <w:szCs w:val="32"/>
        </w:rPr>
      </w:pPr>
      <w:r>
        <w:rPr>
          <w:rFonts w:hint="eastAsia" w:eastAsia="仿宋_GB2312"/>
          <w:sz w:val="32"/>
          <w:szCs w:val="32"/>
        </w:rPr>
        <w:t>部门基本情况：邵阳市统计局内设局办公室，政工科、</w:t>
      </w:r>
      <w:r>
        <w:fldChar w:fldCharType="begin"/>
      </w:r>
      <w:r>
        <w:instrText xml:space="preserve"> HYPERLINK "http://10.43.48.155:88/view1.asp?news_id=1531&amp;classid=16&amp;admin_clas=1" \t "_blank" \o "综合统计科" </w:instrText>
      </w:r>
      <w:r>
        <w:fldChar w:fldCharType="separate"/>
      </w:r>
      <w:r>
        <w:rPr>
          <w:rFonts w:eastAsia="仿宋_GB2312"/>
          <w:sz w:val="32"/>
          <w:szCs w:val="32"/>
        </w:rPr>
        <w:t>综合统计科</w:t>
      </w:r>
      <w:r>
        <w:rPr>
          <w:rFonts w:eastAsia="仿宋_GB2312"/>
          <w:sz w:val="32"/>
          <w:szCs w:val="32"/>
        </w:rPr>
        <w:fldChar w:fldCharType="end"/>
      </w:r>
      <w:r>
        <w:rPr>
          <w:rFonts w:hint="eastAsia" w:eastAsia="仿宋_GB2312"/>
          <w:sz w:val="32"/>
          <w:szCs w:val="32"/>
        </w:rPr>
        <w:t>，</w:t>
      </w:r>
      <w:r>
        <w:fldChar w:fldCharType="begin"/>
      </w:r>
      <w:r>
        <w:instrText xml:space="preserve"> HYPERLINK "http://10.43.48.155:88/view1.asp?news_id=1532&amp;classid=16&amp;admin_clas=1" \t "_blank" \o "社会事业科" </w:instrText>
      </w:r>
      <w:r>
        <w:fldChar w:fldCharType="separate"/>
      </w:r>
      <w:r>
        <w:rPr>
          <w:rFonts w:eastAsia="仿宋_GB2312"/>
          <w:sz w:val="32"/>
          <w:szCs w:val="32"/>
        </w:rPr>
        <w:t>社会事业科</w:t>
      </w:r>
      <w:r>
        <w:rPr>
          <w:rFonts w:eastAsia="仿宋_GB2312"/>
          <w:sz w:val="32"/>
          <w:szCs w:val="32"/>
        </w:rPr>
        <w:fldChar w:fldCharType="end"/>
      </w:r>
      <w:r>
        <w:rPr>
          <w:rFonts w:hint="eastAsia" w:eastAsia="仿宋_GB2312"/>
          <w:sz w:val="32"/>
          <w:szCs w:val="32"/>
        </w:rPr>
        <w:t>，</w:t>
      </w:r>
      <w:r>
        <w:fldChar w:fldCharType="begin"/>
      </w:r>
      <w:r>
        <w:instrText xml:space="preserve"> HYPERLINK "http://10.43.48.155:88/view1.asp?news_id=1533&amp;classid=16&amp;admin_clas=1" \t "_blank" \o "工业统计科" </w:instrText>
      </w:r>
      <w:r>
        <w:fldChar w:fldCharType="separate"/>
      </w:r>
      <w:r>
        <w:rPr>
          <w:rFonts w:eastAsia="仿宋_GB2312"/>
          <w:sz w:val="32"/>
          <w:szCs w:val="32"/>
        </w:rPr>
        <w:t>工业统计科</w:t>
      </w:r>
      <w:r>
        <w:rPr>
          <w:rFonts w:eastAsia="仿宋_GB2312"/>
          <w:sz w:val="32"/>
          <w:szCs w:val="32"/>
        </w:rPr>
        <w:fldChar w:fldCharType="end"/>
      </w:r>
      <w:r>
        <w:rPr>
          <w:rFonts w:hint="eastAsia" w:eastAsia="仿宋_GB2312"/>
          <w:sz w:val="32"/>
          <w:szCs w:val="32"/>
        </w:rPr>
        <w:t>，能源科，</w:t>
      </w:r>
      <w:r>
        <w:fldChar w:fldCharType="begin"/>
      </w:r>
      <w:r>
        <w:instrText xml:space="preserve"> HYPERLINK "http://10.43.48.155:88/view1.asp?news_id=1534&amp;classid=16&amp;admin_clas=1" \t "_blank" \o "投资财贸统计科" </w:instrText>
      </w:r>
      <w:r>
        <w:fldChar w:fldCharType="separate"/>
      </w:r>
      <w:r>
        <w:rPr>
          <w:rFonts w:eastAsia="仿宋_GB2312"/>
          <w:sz w:val="32"/>
          <w:szCs w:val="32"/>
        </w:rPr>
        <w:t>投资财贸统计科</w:t>
      </w:r>
      <w:r>
        <w:rPr>
          <w:rFonts w:eastAsia="仿宋_GB2312"/>
          <w:sz w:val="32"/>
          <w:szCs w:val="32"/>
        </w:rPr>
        <w:fldChar w:fldCharType="end"/>
      </w:r>
      <w:r>
        <w:rPr>
          <w:rFonts w:hint="eastAsia" w:eastAsia="仿宋_GB2312"/>
          <w:sz w:val="32"/>
          <w:szCs w:val="32"/>
        </w:rPr>
        <w:t>，</w:t>
      </w:r>
      <w:r>
        <w:fldChar w:fldCharType="begin"/>
      </w:r>
      <w:r>
        <w:instrText xml:space="preserve"> HYPERLINK "http://10.43.48.155:88/view1.asp?news_id=1536&amp;classid=16&amp;admin_clas=1" \t "_blank" \o "统计法规督查科" </w:instrText>
      </w:r>
      <w:r>
        <w:fldChar w:fldCharType="separate"/>
      </w:r>
      <w:r>
        <w:rPr>
          <w:rFonts w:eastAsia="仿宋_GB2312"/>
          <w:sz w:val="32"/>
          <w:szCs w:val="32"/>
        </w:rPr>
        <w:t>统计法规督查科</w:t>
      </w:r>
      <w:r>
        <w:rPr>
          <w:rFonts w:eastAsia="仿宋_GB2312"/>
          <w:sz w:val="32"/>
          <w:szCs w:val="32"/>
        </w:rPr>
        <w:fldChar w:fldCharType="end"/>
      </w:r>
      <w:r>
        <w:rPr>
          <w:rFonts w:hint="eastAsia" w:eastAsia="仿宋_GB2312"/>
          <w:sz w:val="32"/>
          <w:szCs w:val="32"/>
        </w:rPr>
        <w:t>，</w:t>
      </w:r>
      <w:r>
        <w:fldChar w:fldCharType="begin"/>
      </w:r>
      <w:r>
        <w:instrText xml:space="preserve"> HYPERLINK "http://10.43.48.155:88/view1.asp?news_id=1537&amp;classid=16&amp;admin_clas=1" \t "_blank" \o "普查科" </w:instrText>
      </w:r>
      <w:r>
        <w:fldChar w:fldCharType="separate"/>
      </w:r>
      <w:r>
        <w:rPr>
          <w:rFonts w:eastAsia="仿宋_GB2312"/>
          <w:sz w:val="32"/>
          <w:szCs w:val="32"/>
        </w:rPr>
        <w:t>普查科</w:t>
      </w:r>
      <w:r>
        <w:rPr>
          <w:rFonts w:eastAsia="仿宋_GB2312"/>
          <w:sz w:val="32"/>
          <w:szCs w:val="32"/>
        </w:rPr>
        <w:fldChar w:fldCharType="end"/>
      </w:r>
      <w:r>
        <w:rPr>
          <w:rFonts w:hint="eastAsia" w:eastAsia="仿宋_GB2312"/>
          <w:sz w:val="32"/>
          <w:szCs w:val="32"/>
        </w:rPr>
        <w:t>，</w:t>
      </w:r>
      <w:r>
        <w:fldChar w:fldCharType="begin"/>
      </w:r>
      <w:r>
        <w:instrText xml:space="preserve"> HYPERLINK "http://10.43.48.155:88/view1.asp?news_id=1538&amp;classid=16&amp;admin_clas=1" \t "_blank" \o "服务业统计调查科" </w:instrText>
      </w:r>
      <w:r>
        <w:fldChar w:fldCharType="separate"/>
      </w:r>
      <w:r>
        <w:rPr>
          <w:rFonts w:eastAsia="仿宋_GB2312"/>
          <w:sz w:val="32"/>
          <w:szCs w:val="32"/>
        </w:rPr>
        <w:t>服务业统计调查科</w:t>
      </w:r>
      <w:r>
        <w:rPr>
          <w:rFonts w:eastAsia="仿宋_GB2312"/>
          <w:sz w:val="32"/>
          <w:szCs w:val="32"/>
        </w:rPr>
        <w:fldChar w:fldCharType="end"/>
      </w:r>
      <w:r>
        <w:rPr>
          <w:rFonts w:hint="eastAsia" w:eastAsia="仿宋_GB2312"/>
          <w:sz w:val="32"/>
          <w:szCs w:val="32"/>
        </w:rPr>
        <w:t>等10个科室及市统计调查队，民意调查中心等两所属事业单位，编办核定编制人数为54人，2021年底单位实有在职人数为44人。</w:t>
      </w:r>
    </w:p>
    <w:p w14:paraId="2FD36720">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eastAsia="仿宋_GB2312"/>
          <w:sz w:val="32"/>
          <w:szCs w:val="32"/>
        </w:rPr>
        <w:t>部门主要职能：</w:t>
      </w:r>
      <w:r>
        <w:rPr>
          <w:rFonts w:hint="eastAsia" w:ascii="仿宋_GB2312" w:eastAsia="仿宋_GB2312" w:cs="Arial"/>
          <w:color w:val="333333"/>
          <w:sz w:val="32"/>
          <w:szCs w:val="32"/>
          <w:shd w:val="clear" w:color="auto" w:fill="FFFFFF"/>
        </w:rPr>
        <w:t>根据《中共邵阳市委邵阳市人民政府关于印发〈邵阳市人民政府机构改革方案的实施意见〉的通知》（邵市发[2010]10号）和《中共邵阳市委邵阳市人民政府关于邵阳市人民政府机构设置的通知》（邵市发[2010]11号），设立邵阳市统计局，为市人民政府工作机构。其主要职责是：</w:t>
      </w:r>
    </w:p>
    <w:p w14:paraId="0D98AC2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 xml:space="preserve">（一）贯彻执行国家统计工作的方针、政策和统计法律法规，研究统计制度和统计方法的改革，完成国家和地方统计调查任务；承担组织领导和协调全市统计工作，确保统计数据真实、准确、及时；监督检查统计法律法规的实施情况，查处各类统计违法行为。 </w:t>
      </w:r>
    </w:p>
    <w:p w14:paraId="5882883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二）制定并组织实施全市统计改革和统计现代化建设规划及统计调查计划，建立健全国民经济核算体系和统计指标体系，组织实施全市及各县市区国民经济核算制度和全市投入产出调查，核算全市及县市区地方生产总值，汇编提供国民经济核算资料，监督管理全市各地国民经济核算工作。</w:t>
      </w:r>
    </w:p>
    <w:p w14:paraId="614802F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（三）会同有关部门拟订重大普查计划与方案，组织实施全市人口、经济、农业等重大普查，汇总、整理和提供有关方面的统计数。</w:t>
      </w:r>
    </w:p>
    <w:p w14:paraId="487549C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市性基本统计数据。</w:t>
      </w:r>
    </w:p>
    <w:p w14:paraId="49C540E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五）组织实施能源、投资、消费、价格、收入、科技、人口、劳动力、社会发展基本情况、环境基本状况等统计调查，收集、汇总、整理和提供有关调查的统计数据，综合整理和提供资源、房屋、对外贸易、对外经济等全市性基本统计数据。</w:t>
      </w:r>
    </w:p>
    <w:p w14:paraId="0C80572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六）组织全市各部门的经济、社会、科技和资源环境统计调查。统一核实、管理、公布全市性基本统计资料，定期发布全市国民经济和社会发展情况的统计信息。组织建立服务业统计信息管理制度、共享制度和发布制度。</w:t>
      </w:r>
    </w:p>
    <w:p w14:paraId="2002B7B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（七）对国民经济、社会发展、科技进步和资源环境等情况进行统计分析、统计预测和统计监督，向市委、市政府及有关部门提供统计信息和咨询建议。</w:t>
      </w:r>
    </w:p>
    <w:p w14:paraId="52EEA06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八）依法审批或者备案地方统计调查项目和市直各部门统计调查项目，指导专业统计基础工作、统计基层业务基础建设，建立健全统计数据质量审核、监控和评估制度，开展对重要统计数据的审核、监控和评估，依法监督管理涉外调查活动。</w:t>
      </w:r>
    </w:p>
    <w:p w14:paraId="4BF2729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九）协助地方管理县市区统计局局长和副局长，指导全市统计专业技术队伍建设，会同有关部门组织管理全市统计专业资格考试、职务评聘和从业资格认定工作，监督管理中央和市财政安排的统计专项经费以及中央财政安排的基础建设投资。指导全市统计科研、统计教育、统计宣传工作。</w:t>
      </w:r>
    </w:p>
    <w:p w14:paraId="677B7D0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（十）建立并管理全市统计信息自动化系统和统计数据库系统，组织制定各县市区、市直各部门统计数据库和网络的基本标准和运行规则，指导全市统计信息化系统建设。</w:t>
      </w:r>
    </w:p>
    <w:p w14:paraId="602FD9C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（十一）</w:t>
      </w:r>
      <w:r>
        <w:rPr>
          <w:rFonts w:ascii="仿宋_GB2312" w:eastAsia="仿宋_GB2312" w:cs="Arial"/>
          <w:color w:val="333333"/>
          <w:sz w:val="32"/>
          <w:szCs w:val="32"/>
          <w:shd w:val="clear" w:color="auto" w:fill="FFFFFF"/>
        </w:rPr>
        <w:t>制定</w:t>
      </w:r>
      <w:r>
        <w:rPr>
          <w:rFonts w:hint="eastAsia" w:ascii="仿宋_GB2312" w:eastAsia="仿宋_GB2312" w:cs="Arial"/>
          <w:color w:val="333333"/>
          <w:sz w:val="32"/>
          <w:szCs w:val="32"/>
          <w:shd w:val="clear" w:color="auto" w:fill="FFFFFF"/>
        </w:rPr>
        <w:t>全市</w:t>
      </w:r>
      <w:r>
        <w:rPr>
          <w:rFonts w:ascii="仿宋_GB2312" w:eastAsia="仿宋_GB2312" w:cs="Arial"/>
          <w:color w:val="333333"/>
          <w:sz w:val="32"/>
          <w:szCs w:val="32"/>
          <w:shd w:val="clear" w:color="auto" w:fill="FFFFFF"/>
        </w:rPr>
        <w:t>社情民意调查工作计划并组织实施，负责社情民意方面调查统计结果的分析、研究、上报工作</w:t>
      </w:r>
      <w:r>
        <w:rPr>
          <w:rFonts w:hint="eastAsia" w:ascii="仿宋_GB2312" w:eastAsia="仿宋_GB2312" w:cs="Arial"/>
          <w:color w:val="333333"/>
          <w:sz w:val="32"/>
          <w:szCs w:val="32"/>
          <w:shd w:val="clear" w:color="auto" w:fill="FFFFFF"/>
        </w:rPr>
        <w:t>；承担国家、省统计局和市委、市政府布置和交办的有关社情民意方面的调查任务；收集提供社会动态、舆情信息以及人民群众对重大决策、决定的意见和建议；收集人民群众对社会热点问题的认识和反映；了解提供市委、政府决策部门所需要的信息及其他重要情况；针对领导关心的问题开展民意调查，并承担市党政及各有关部门委托的专项社情民意调查。</w:t>
      </w:r>
    </w:p>
    <w:p w14:paraId="2CE6CC99">
      <w:pPr>
        <w:adjustRightInd w:val="0"/>
        <w:snapToGrid w:val="0"/>
        <w:spacing w:line="600" w:lineRule="exact"/>
        <w:ind w:firstLine="640" w:firstLineChars="2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（十二）承办市人民政府交办的其他事项。</w:t>
      </w:r>
    </w:p>
    <w:p w14:paraId="4BF497FA">
      <w:pPr>
        <w:adjustRightInd w:val="0"/>
        <w:snapToGrid w:val="0"/>
        <w:spacing w:line="600" w:lineRule="exact"/>
        <w:ind w:firstLine="640" w:firstLineChars="200"/>
        <w:rPr>
          <w:rFonts w:eastAsia="仿宋_GB2312"/>
          <w:sz w:val="32"/>
          <w:szCs w:val="32"/>
        </w:rPr>
      </w:pPr>
    </w:p>
    <w:p w14:paraId="0E4AF990">
      <w:pPr>
        <w:adjustRightInd w:val="0"/>
        <w:snapToGrid w:val="0"/>
        <w:spacing w:line="600" w:lineRule="exact"/>
        <w:ind w:firstLine="640" w:firstLineChars="200"/>
        <w:rPr>
          <w:rFonts w:eastAsia="仿宋_GB2312"/>
          <w:sz w:val="32"/>
          <w:szCs w:val="32"/>
        </w:rPr>
      </w:pPr>
      <w:r>
        <w:rPr>
          <w:rFonts w:hint="eastAsia" w:eastAsia="仿宋_GB2312"/>
          <w:sz w:val="32"/>
          <w:szCs w:val="32"/>
        </w:rPr>
        <w:t>部门整体支出情况：2021年全局财政拨款经费总支出为1084.44万元。其中人员经费支出与2020年同比减少190.84万，同比减少14.97%。</w:t>
      </w:r>
    </w:p>
    <w:p w14:paraId="60307BEE">
      <w:pPr>
        <w:adjustRightInd w:val="0"/>
        <w:snapToGrid w:val="0"/>
        <w:spacing w:line="600" w:lineRule="exact"/>
        <w:ind w:firstLine="640" w:firstLineChars="200"/>
        <w:rPr>
          <w:rFonts w:eastAsia="仿宋_GB2312"/>
          <w:sz w:val="32"/>
          <w:szCs w:val="32"/>
        </w:rPr>
      </w:pPr>
    </w:p>
    <w:p w14:paraId="1AC1A77E">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14:paraId="0E003894">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（一）预算执行情况</w:t>
      </w:r>
    </w:p>
    <w:p w14:paraId="501B72F5">
      <w:pPr>
        <w:adjustRightInd w:val="0"/>
        <w:snapToGrid w:val="0"/>
        <w:spacing w:line="600" w:lineRule="exact"/>
        <w:ind w:firstLine="640" w:firstLineChars="200"/>
        <w:rPr>
          <w:rFonts w:eastAsia="仿宋_GB2312"/>
          <w:sz w:val="32"/>
          <w:szCs w:val="32"/>
        </w:rPr>
      </w:pPr>
      <w:r>
        <w:rPr>
          <w:rFonts w:hint="eastAsia" w:eastAsia="仿宋_GB2312"/>
          <w:sz w:val="32"/>
          <w:szCs w:val="32"/>
        </w:rPr>
        <w:t>2021年度财政拨款收入总计1084.44万元。与上年相比，增加-190.84万元，增长-14.97%，主要是因为2020年新增全国第七次人口普查工作，增加普查经费。</w:t>
      </w:r>
    </w:p>
    <w:p w14:paraId="61A2D8A3">
      <w:pPr>
        <w:adjustRightInd w:val="0"/>
        <w:snapToGrid w:val="0"/>
        <w:spacing w:line="600" w:lineRule="exact"/>
        <w:ind w:firstLine="640" w:firstLineChars="200"/>
        <w:rPr>
          <w:rFonts w:eastAsia="仿宋_GB2312"/>
          <w:sz w:val="32"/>
          <w:szCs w:val="32"/>
        </w:rPr>
      </w:pPr>
      <w:r>
        <w:rPr>
          <w:rFonts w:hint="eastAsia" w:eastAsia="仿宋_GB2312"/>
          <w:sz w:val="32"/>
          <w:szCs w:val="32"/>
        </w:rPr>
        <w:t>2021年度财政拨款支出总计1084.44万元。与上年相比，增加-190.84万元，增长-14.97%，主要是因为2020年新增全国第七次人口普查工作，相关经费开支增大。</w:t>
      </w:r>
    </w:p>
    <w:p w14:paraId="6789C463">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（二）基本支出</w:t>
      </w:r>
    </w:p>
    <w:p w14:paraId="1336CE25">
      <w:pPr>
        <w:spacing w:before="100" w:beforeAutospacing="1" w:after="100" w:afterAutospacing="1"/>
        <w:ind w:firstLine="480"/>
        <w:rPr>
          <w:rFonts w:eastAsia="仿宋_GB2312"/>
          <w:sz w:val="32"/>
          <w:szCs w:val="32"/>
        </w:rPr>
      </w:pPr>
      <w:r>
        <w:rPr>
          <w:rFonts w:hint="eastAsia" w:eastAsia="仿宋_GB2312"/>
          <w:sz w:val="32"/>
          <w:szCs w:val="32"/>
        </w:rPr>
        <w:t>2021年财政拨款基本支出为1084.44万，其中包括: 人员经费支出718.97万，日常公用经费支出255.26万，对个人和家庭补助65.77万，资本性支出2.34万。工资福利支出主要系人员经费开支，对个人和家庭补助系退休干部津补贴开支等。</w:t>
      </w:r>
      <w:r>
        <w:rPr>
          <w:rFonts w:eastAsia="仿宋_GB2312"/>
          <w:sz w:val="32"/>
          <w:szCs w:val="32"/>
        </w:rPr>
        <w:t>从三公经费的使用情况来看，20</w:t>
      </w:r>
      <w:r>
        <w:rPr>
          <w:rFonts w:hint="eastAsia" w:eastAsia="仿宋_GB2312"/>
          <w:sz w:val="32"/>
          <w:szCs w:val="32"/>
        </w:rPr>
        <w:t>21</w:t>
      </w:r>
      <w:r>
        <w:rPr>
          <w:rFonts w:eastAsia="仿宋_GB2312"/>
          <w:sz w:val="32"/>
          <w:szCs w:val="32"/>
        </w:rPr>
        <w:t>年度公务招待费</w:t>
      </w:r>
      <w:r>
        <w:rPr>
          <w:rFonts w:hint="eastAsia" w:eastAsia="仿宋_GB2312"/>
          <w:sz w:val="32"/>
          <w:szCs w:val="32"/>
        </w:rPr>
        <w:t>0.79万</w:t>
      </w:r>
      <w:r>
        <w:rPr>
          <w:rFonts w:eastAsia="仿宋_GB2312"/>
          <w:sz w:val="32"/>
          <w:szCs w:val="32"/>
        </w:rPr>
        <w:t>元、出国（境）费0元、公务车运行费</w:t>
      </w:r>
      <w:r>
        <w:rPr>
          <w:rFonts w:hint="eastAsia" w:eastAsia="仿宋_GB2312"/>
          <w:sz w:val="32"/>
          <w:szCs w:val="32"/>
        </w:rPr>
        <w:t>13.37万</w:t>
      </w:r>
      <w:r>
        <w:rPr>
          <w:rFonts w:eastAsia="仿宋_GB2312"/>
          <w:sz w:val="32"/>
          <w:szCs w:val="32"/>
        </w:rPr>
        <w:t>元，分别占机关运行经费</w:t>
      </w:r>
      <w:r>
        <w:rPr>
          <w:rFonts w:hint="eastAsia" w:eastAsia="仿宋_GB2312"/>
          <w:sz w:val="32"/>
          <w:szCs w:val="32"/>
        </w:rPr>
        <w:t>255.26万</w:t>
      </w:r>
      <w:r>
        <w:rPr>
          <w:rFonts w:eastAsia="仿宋_GB2312"/>
          <w:sz w:val="32"/>
          <w:szCs w:val="32"/>
        </w:rPr>
        <w:t>元的</w:t>
      </w:r>
      <w:r>
        <w:rPr>
          <w:rFonts w:hint="eastAsia" w:eastAsia="仿宋_GB2312"/>
          <w:sz w:val="32"/>
          <w:szCs w:val="32"/>
        </w:rPr>
        <w:t>0.31</w:t>
      </w:r>
      <w:r>
        <w:rPr>
          <w:rFonts w:eastAsia="仿宋_GB2312"/>
          <w:sz w:val="32"/>
          <w:szCs w:val="32"/>
        </w:rPr>
        <w:t>%、0%、</w:t>
      </w:r>
      <w:r>
        <w:rPr>
          <w:rFonts w:hint="eastAsia" w:eastAsia="仿宋_GB2312"/>
          <w:sz w:val="32"/>
          <w:szCs w:val="32"/>
        </w:rPr>
        <w:t>5.24</w:t>
      </w:r>
      <w:r>
        <w:rPr>
          <w:rFonts w:eastAsia="仿宋_GB2312"/>
          <w:sz w:val="32"/>
          <w:szCs w:val="32"/>
        </w:rPr>
        <w:t>%。</w:t>
      </w:r>
    </w:p>
    <w:p w14:paraId="00EA723C">
      <w:pPr>
        <w:spacing w:before="100" w:beforeAutospacing="1" w:after="100" w:afterAutospacing="1"/>
        <w:ind w:firstLine="480"/>
        <w:rPr>
          <w:rFonts w:ascii="宋体" w:hAnsi="宋体" w:cs="宋体"/>
          <w:kern w:val="0"/>
          <w:sz w:val="24"/>
        </w:rPr>
      </w:pPr>
      <w:r>
        <w:rPr>
          <w:rFonts w:ascii="宋体" w:hAnsi="宋体" w:cs="宋体"/>
          <w:kern w:val="0"/>
          <w:sz w:val="27"/>
          <w:szCs w:val="27"/>
        </w:rPr>
        <w:t>20</w:t>
      </w:r>
      <w:r>
        <w:rPr>
          <w:rFonts w:hint="eastAsia" w:ascii="宋体" w:hAnsi="宋体" w:cs="宋体"/>
          <w:kern w:val="0"/>
          <w:sz w:val="27"/>
          <w:szCs w:val="27"/>
        </w:rPr>
        <w:t>20</w:t>
      </w:r>
      <w:r>
        <w:rPr>
          <w:rFonts w:ascii="宋体" w:hAnsi="宋体" w:cs="宋体"/>
          <w:kern w:val="0"/>
          <w:sz w:val="27"/>
          <w:szCs w:val="27"/>
        </w:rPr>
        <w:t>-2019年度“三公”经费支出情况表</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7"/>
          <w:szCs w:val="27"/>
        </w:rPr>
        <w:t>单位：</w:t>
      </w:r>
      <w:r>
        <w:rPr>
          <w:rFonts w:hint="eastAsia" w:ascii="宋体" w:hAnsi="宋体" w:cs="宋体"/>
          <w:kern w:val="0"/>
          <w:sz w:val="27"/>
          <w:szCs w:val="27"/>
        </w:rPr>
        <w:t>万</w:t>
      </w:r>
      <w:r>
        <w:rPr>
          <w:rFonts w:ascii="宋体" w:hAnsi="宋体" w:cs="宋体"/>
          <w:kern w:val="0"/>
          <w:sz w:val="27"/>
          <w:szCs w:val="27"/>
        </w:rPr>
        <w:t>元</w:t>
      </w:r>
      <w:r>
        <w:rPr>
          <w:rFonts w:ascii="宋体" w:hAnsi="宋体" w:cs="宋体"/>
          <w:kern w:val="0"/>
          <w:sz w:val="24"/>
        </w:rPr>
        <w:t xml:space="preserve"> </w:t>
      </w:r>
    </w:p>
    <w:tbl>
      <w:tblPr>
        <w:tblStyle w:val="7"/>
        <w:tblW w:w="0" w:type="auto"/>
        <w:tblInd w:w="0" w:type="dxa"/>
        <w:tblLayout w:type="autofit"/>
        <w:tblCellMar>
          <w:top w:w="15" w:type="dxa"/>
          <w:left w:w="15" w:type="dxa"/>
          <w:bottom w:w="15" w:type="dxa"/>
          <w:right w:w="15" w:type="dxa"/>
        </w:tblCellMar>
      </w:tblPr>
      <w:tblGrid>
        <w:gridCol w:w="2142"/>
        <w:gridCol w:w="1785"/>
        <w:gridCol w:w="2080"/>
        <w:gridCol w:w="2329"/>
      </w:tblGrid>
      <w:tr w14:paraId="43D5F4C0">
        <w:tblPrEx>
          <w:tblCellMar>
            <w:top w:w="15" w:type="dxa"/>
            <w:left w:w="15" w:type="dxa"/>
            <w:bottom w:w="15" w:type="dxa"/>
            <w:right w:w="15" w:type="dxa"/>
          </w:tblCellMar>
        </w:tblPrEx>
        <w:tc>
          <w:tcPr>
            <w:tcW w:w="2142" w:type="dxa"/>
            <w:tcBorders>
              <w:top w:val="single" w:color="000000" w:sz="6" w:space="0"/>
              <w:left w:val="single" w:color="000000" w:sz="6" w:space="0"/>
              <w:bottom w:val="single" w:color="000000" w:sz="6" w:space="0"/>
              <w:right w:val="single" w:color="000000" w:sz="6" w:space="0"/>
            </w:tcBorders>
          </w:tcPr>
          <w:p w14:paraId="0408A088">
            <w:pPr>
              <w:widowControl/>
              <w:spacing w:before="100" w:beforeAutospacing="1" w:after="100" w:afterAutospacing="1"/>
              <w:ind w:firstLine="560"/>
              <w:rPr>
                <w:rFonts w:ascii="宋体" w:hAnsi="宋体" w:cs="宋体"/>
                <w:kern w:val="0"/>
                <w:sz w:val="24"/>
              </w:rPr>
            </w:pPr>
            <w:r>
              <w:rPr>
                <w:rFonts w:hint="eastAsia" w:ascii="宋体" w:hAnsi="宋体" w:cs="宋体"/>
                <w:kern w:val="0"/>
                <w:sz w:val="27"/>
                <w:szCs w:val="27"/>
              </w:rPr>
              <w:t>项   目</w:t>
            </w:r>
            <w:r>
              <w:rPr>
                <w:rFonts w:ascii="宋体" w:hAnsi="宋体" w:cs="宋体"/>
                <w:kern w:val="0"/>
                <w:sz w:val="24"/>
              </w:rPr>
              <w:t xml:space="preserve"> </w:t>
            </w:r>
          </w:p>
        </w:tc>
        <w:tc>
          <w:tcPr>
            <w:tcW w:w="1785" w:type="dxa"/>
            <w:tcBorders>
              <w:top w:val="single" w:color="000000" w:sz="6" w:space="0"/>
              <w:left w:val="single" w:color="000000" w:sz="6" w:space="0"/>
              <w:bottom w:val="single" w:color="000000" w:sz="6" w:space="0"/>
              <w:right w:val="single" w:color="000000" w:sz="6" w:space="0"/>
            </w:tcBorders>
          </w:tcPr>
          <w:p w14:paraId="1D326992">
            <w:pPr>
              <w:widowControl/>
              <w:spacing w:before="100" w:beforeAutospacing="1" w:after="100" w:afterAutospacing="1"/>
              <w:jc w:val="center"/>
              <w:rPr>
                <w:rFonts w:ascii="宋体" w:hAnsi="宋体" w:cs="宋体"/>
                <w:kern w:val="0"/>
                <w:sz w:val="24"/>
              </w:rPr>
            </w:pPr>
            <w:r>
              <w:rPr>
                <w:rFonts w:hint="eastAsia" w:ascii="宋体" w:hAnsi="宋体" w:cs="宋体"/>
                <w:kern w:val="0"/>
                <w:sz w:val="27"/>
                <w:szCs w:val="27"/>
              </w:rPr>
              <w:t>2020年</w:t>
            </w:r>
            <w:r>
              <w:rPr>
                <w:rFonts w:ascii="宋体" w:hAnsi="宋体" w:cs="宋体"/>
                <w:kern w:val="0"/>
                <w:sz w:val="24"/>
              </w:rPr>
              <w:t xml:space="preserve"> </w:t>
            </w:r>
          </w:p>
        </w:tc>
        <w:tc>
          <w:tcPr>
            <w:tcW w:w="2080" w:type="dxa"/>
            <w:tcBorders>
              <w:top w:val="single" w:color="000000" w:sz="6" w:space="0"/>
              <w:left w:val="single" w:color="000000" w:sz="6" w:space="0"/>
              <w:bottom w:val="single" w:color="000000" w:sz="6" w:space="0"/>
              <w:right w:val="single" w:color="000000" w:sz="6" w:space="0"/>
            </w:tcBorders>
          </w:tcPr>
          <w:p w14:paraId="7B6BCBE6">
            <w:pPr>
              <w:widowControl/>
              <w:spacing w:before="100" w:beforeAutospacing="1" w:after="100" w:afterAutospacing="1"/>
              <w:ind w:firstLine="405" w:firstLineChars="150"/>
              <w:jc w:val="left"/>
              <w:rPr>
                <w:rFonts w:ascii="宋体" w:hAnsi="宋体" w:cs="宋体"/>
                <w:kern w:val="0"/>
                <w:sz w:val="24"/>
              </w:rPr>
            </w:pPr>
            <w:r>
              <w:rPr>
                <w:rFonts w:hint="eastAsia" w:ascii="宋体" w:hAnsi="宋体" w:cs="宋体"/>
                <w:kern w:val="0"/>
                <w:sz w:val="27"/>
                <w:szCs w:val="27"/>
              </w:rPr>
              <w:t>2021年</w:t>
            </w:r>
          </w:p>
        </w:tc>
        <w:tc>
          <w:tcPr>
            <w:tcW w:w="2329" w:type="dxa"/>
            <w:tcBorders>
              <w:top w:val="single" w:color="000000" w:sz="6" w:space="0"/>
              <w:left w:val="single" w:color="000000" w:sz="6" w:space="0"/>
              <w:bottom w:val="single" w:color="000000" w:sz="6" w:space="0"/>
              <w:right w:val="single" w:color="000000" w:sz="6" w:space="0"/>
            </w:tcBorders>
          </w:tcPr>
          <w:p w14:paraId="4C84CC21">
            <w:pPr>
              <w:widowControl/>
              <w:spacing w:before="100" w:beforeAutospacing="1" w:after="100" w:afterAutospacing="1"/>
              <w:ind w:firstLine="405" w:firstLineChars="150"/>
              <w:jc w:val="left"/>
              <w:rPr>
                <w:rFonts w:ascii="宋体" w:hAnsi="宋体" w:cs="宋体"/>
                <w:kern w:val="0"/>
                <w:sz w:val="24"/>
              </w:rPr>
            </w:pPr>
            <w:r>
              <w:rPr>
                <w:rFonts w:hint="eastAsia" w:ascii="宋体" w:hAnsi="宋体" w:cs="宋体"/>
                <w:kern w:val="0"/>
                <w:sz w:val="27"/>
                <w:szCs w:val="27"/>
              </w:rPr>
              <w:t>增减情况</w:t>
            </w:r>
            <w:r>
              <w:rPr>
                <w:rFonts w:ascii="宋体" w:hAnsi="宋体" w:cs="宋体"/>
                <w:kern w:val="0"/>
                <w:sz w:val="24"/>
              </w:rPr>
              <w:t xml:space="preserve"> </w:t>
            </w:r>
          </w:p>
        </w:tc>
      </w:tr>
      <w:tr w14:paraId="6E2E4585">
        <w:tblPrEx>
          <w:tblCellMar>
            <w:top w:w="15" w:type="dxa"/>
            <w:left w:w="15" w:type="dxa"/>
            <w:bottom w:w="15" w:type="dxa"/>
            <w:right w:w="15" w:type="dxa"/>
          </w:tblCellMar>
        </w:tblPrEx>
        <w:tc>
          <w:tcPr>
            <w:tcW w:w="2142" w:type="dxa"/>
            <w:tcBorders>
              <w:top w:val="single" w:color="000000" w:sz="6" w:space="0"/>
              <w:left w:val="single" w:color="000000" w:sz="6" w:space="0"/>
              <w:bottom w:val="single" w:color="000000" w:sz="6" w:space="0"/>
              <w:right w:val="single" w:color="000000" w:sz="6" w:space="0"/>
            </w:tcBorders>
          </w:tcPr>
          <w:p w14:paraId="14FBE62E">
            <w:pPr>
              <w:widowControl/>
              <w:spacing w:before="100" w:beforeAutospacing="1" w:after="100" w:afterAutospacing="1"/>
              <w:rPr>
                <w:rFonts w:ascii="宋体" w:hAnsi="宋体" w:cs="宋体"/>
                <w:kern w:val="0"/>
                <w:sz w:val="24"/>
              </w:rPr>
            </w:pPr>
            <w:r>
              <w:rPr>
                <w:rFonts w:hint="eastAsia" w:ascii="宋体" w:hAnsi="宋体" w:cs="宋体"/>
                <w:kern w:val="0"/>
                <w:sz w:val="27"/>
                <w:szCs w:val="27"/>
              </w:rPr>
              <w:t>公务招待费</w:t>
            </w:r>
            <w:r>
              <w:rPr>
                <w:rFonts w:ascii="宋体" w:hAnsi="宋体" w:cs="宋体"/>
                <w:kern w:val="0"/>
                <w:sz w:val="24"/>
              </w:rPr>
              <w:t xml:space="preserve"> </w:t>
            </w:r>
          </w:p>
        </w:tc>
        <w:tc>
          <w:tcPr>
            <w:tcW w:w="1785" w:type="dxa"/>
            <w:tcBorders>
              <w:top w:val="single" w:color="000000" w:sz="6" w:space="0"/>
              <w:left w:val="single" w:color="000000" w:sz="6" w:space="0"/>
              <w:bottom w:val="single" w:color="000000" w:sz="6" w:space="0"/>
              <w:right w:val="single" w:color="000000" w:sz="6" w:space="0"/>
            </w:tcBorders>
          </w:tcPr>
          <w:p w14:paraId="419A4FBD">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1.58</w:t>
            </w:r>
          </w:p>
        </w:tc>
        <w:tc>
          <w:tcPr>
            <w:tcW w:w="2080" w:type="dxa"/>
            <w:tcBorders>
              <w:top w:val="single" w:color="000000" w:sz="6" w:space="0"/>
              <w:left w:val="single" w:color="000000" w:sz="6" w:space="0"/>
              <w:bottom w:val="single" w:color="000000" w:sz="6" w:space="0"/>
              <w:right w:val="single" w:color="000000" w:sz="6" w:space="0"/>
            </w:tcBorders>
          </w:tcPr>
          <w:p w14:paraId="642252BD">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0.79</w:t>
            </w:r>
          </w:p>
        </w:tc>
        <w:tc>
          <w:tcPr>
            <w:tcW w:w="2329" w:type="dxa"/>
            <w:tcBorders>
              <w:top w:val="single" w:color="000000" w:sz="6" w:space="0"/>
              <w:left w:val="single" w:color="000000" w:sz="6" w:space="0"/>
              <w:bottom w:val="single" w:color="000000" w:sz="6" w:space="0"/>
              <w:right w:val="single" w:color="000000" w:sz="6" w:space="0"/>
            </w:tcBorders>
          </w:tcPr>
          <w:p w14:paraId="3981E31E">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-0.79</w:t>
            </w:r>
          </w:p>
        </w:tc>
      </w:tr>
      <w:tr w14:paraId="05EA8D31">
        <w:tblPrEx>
          <w:tblCellMar>
            <w:top w:w="15" w:type="dxa"/>
            <w:left w:w="15" w:type="dxa"/>
            <w:bottom w:w="15" w:type="dxa"/>
            <w:right w:w="15" w:type="dxa"/>
          </w:tblCellMar>
        </w:tblPrEx>
        <w:trPr>
          <w:trHeight w:val="789" w:hRule="atLeast"/>
        </w:trPr>
        <w:tc>
          <w:tcPr>
            <w:tcW w:w="2142" w:type="dxa"/>
            <w:tcBorders>
              <w:top w:val="single" w:color="000000" w:sz="6" w:space="0"/>
              <w:left w:val="single" w:color="000000" w:sz="6" w:space="0"/>
              <w:bottom w:val="single" w:color="000000" w:sz="6" w:space="0"/>
              <w:right w:val="single" w:color="000000" w:sz="6" w:space="0"/>
            </w:tcBorders>
          </w:tcPr>
          <w:p w14:paraId="7AE747E1">
            <w:pPr>
              <w:widowControl/>
              <w:spacing w:before="100" w:beforeAutospacing="1" w:after="100" w:afterAutospacing="1"/>
              <w:rPr>
                <w:rFonts w:ascii="宋体" w:hAnsi="宋体" w:cs="宋体"/>
                <w:kern w:val="0"/>
                <w:sz w:val="24"/>
              </w:rPr>
            </w:pPr>
            <w:r>
              <w:rPr>
                <w:rFonts w:hint="eastAsia" w:ascii="宋体" w:hAnsi="宋体" w:cs="宋体"/>
                <w:kern w:val="0"/>
                <w:sz w:val="27"/>
                <w:szCs w:val="27"/>
              </w:rPr>
              <w:t>公车购置运行费</w:t>
            </w:r>
          </w:p>
        </w:tc>
        <w:tc>
          <w:tcPr>
            <w:tcW w:w="1785" w:type="dxa"/>
            <w:tcBorders>
              <w:top w:val="single" w:color="000000" w:sz="6" w:space="0"/>
              <w:left w:val="single" w:color="000000" w:sz="6" w:space="0"/>
              <w:bottom w:val="single" w:color="000000" w:sz="6" w:space="0"/>
              <w:right w:val="single" w:color="000000" w:sz="6" w:space="0"/>
            </w:tcBorders>
          </w:tcPr>
          <w:p w14:paraId="420D9B5D">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17.52</w:t>
            </w:r>
          </w:p>
        </w:tc>
        <w:tc>
          <w:tcPr>
            <w:tcW w:w="2080" w:type="dxa"/>
            <w:tcBorders>
              <w:top w:val="single" w:color="000000" w:sz="6" w:space="0"/>
              <w:left w:val="single" w:color="000000" w:sz="6" w:space="0"/>
              <w:bottom w:val="single" w:color="000000" w:sz="6" w:space="0"/>
              <w:right w:val="single" w:color="000000" w:sz="6" w:space="0"/>
            </w:tcBorders>
          </w:tcPr>
          <w:p w14:paraId="2A40672F">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13.37</w:t>
            </w:r>
          </w:p>
        </w:tc>
        <w:tc>
          <w:tcPr>
            <w:tcW w:w="2329" w:type="dxa"/>
            <w:tcBorders>
              <w:top w:val="single" w:color="000000" w:sz="6" w:space="0"/>
              <w:left w:val="single" w:color="000000" w:sz="6" w:space="0"/>
              <w:bottom w:val="single" w:color="000000" w:sz="6" w:space="0"/>
              <w:right w:val="single" w:color="000000" w:sz="6" w:space="0"/>
            </w:tcBorders>
          </w:tcPr>
          <w:p w14:paraId="45FBC7B0">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-4.15</w:t>
            </w:r>
          </w:p>
        </w:tc>
      </w:tr>
      <w:tr w14:paraId="6CB94B9A">
        <w:tblPrEx>
          <w:tblCellMar>
            <w:top w:w="15" w:type="dxa"/>
            <w:left w:w="15" w:type="dxa"/>
            <w:bottom w:w="15" w:type="dxa"/>
            <w:right w:w="15" w:type="dxa"/>
          </w:tblCellMar>
        </w:tblPrEx>
        <w:tc>
          <w:tcPr>
            <w:tcW w:w="2142" w:type="dxa"/>
            <w:tcBorders>
              <w:top w:val="single" w:color="000000" w:sz="6" w:space="0"/>
              <w:left w:val="single" w:color="000000" w:sz="6" w:space="0"/>
              <w:bottom w:val="single" w:color="000000" w:sz="6" w:space="0"/>
              <w:right w:val="single" w:color="000000" w:sz="6" w:space="0"/>
            </w:tcBorders>
          </w:tcPr>
          <w:p w14:paraId="4BA6AAA1">
            <w:pPr>
              <w:widowControl/>
              <w:spacing w:before="100" w:beforeAutospacing="1" w:after="100" w:afterAutospacing="1"/>
              <w:rPr>
                <w:rFonts w:ascii="宋体" w:hAnsi="宋体" w:cs="宋体"/>
                <w:kern w:val="0"/>
                <w:sz w:val="24"/>
              </w:rPr>
            </w:pPr>
            <w:r>
              <w:rPr>
                <w:rFonts w:hint="eastAsia" w:ascii="宋体" w:hAnsi="宋体" w:cs="宋体"/>
                <w:kern w:val="0"/>
                <w:sz w:val="27"/>
                <w:szCs w:val="27"/>
              </w:rPr>
              <w:t>出国（境）费用</w:t>
            </w:r>
            <w:r>
              <w:rPr>
                <w:rFonts w:ascii="宋体" w:hAnsi="宋体" w:cs="宋体"/>
                <w:kern w:val="0"/>
                <w:sz w:val="24"/>
              </w:rPr>
              <w:t xml:space="preserve"> </w:t>
            </w:r>
          </w:p>
        </w:tc>
        <w:tc>
          <w:tcPr>
            <w:tcW w:w="1785" w:type="dxa"/>
            <w:tcBorders>
              <w:top w:val="single" w:color="000000" w:sz="6" w:space="0"/>
              <w:left w:val="single" w:color="000000" w:sz="6" w:space="0"/>
              <w:bottom w:val="single" w:color="000000" w:sz="6" w:space="0"/>
              <w:right w:val="single" w:color="000000" w:sz="6" w:space="0"/>
            </w:tcBorders>
          </w:tcPr>
          <w:p w14:paraId="71652133">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0</w:t>
            </w:r>
            <w:r>
              <w:rPr>
                <w:rFonts w:ascii="宋体" w:hAnsi="宋体" w:cs="宋体"/>
                <w:kern w:val="0"/>
                <w:sz w:val="24"/>
              </w:rPr>
              <w:t xml:space="preserve"> </w:t>
            </w:r>
          </w:p>
        </w:tc>
        <w:tc>
          <w:tcPr>
            <w:tcW w:w="2080" w:type="dxa"/>
            <w:tcBorders>
              <w:top w:val="single" w:color="000000" w:sz="6" w:space="0"/>
              <w:left w:val="single" w:color="000000" w:sz="6" w:space="0"/>
              <w:bottom w:val="single" w:color="000000" w:sz="6" w:space="0"/>
              <w:right w:val="single" w:color="000000" w:sz="6" w:space="0"/>
            </w:tcBorders>
          </w:tcPr>
          <w:p w14:paraId="3E41C474">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0</w:t>
            </w:r>
            <w:r>
              <w:rPr>
                <w:rFonts w:ascii="宋体" w:hAnsi="宋体" w:cs="宋体"/>
                <w:kern w:val="0"/>
                <w:sz w:val="24"/>
              </w:rPr>
              <w:t xml:space="preserve"> </w:t>
            </w:r>
          </w:p>
        </w:tc>
        <w:tc>
          <w:tcPr>
            <w:tcW w:w="2329" w:type="dxa"/>
            <w:tcBorders>
              <w:top w:val="single" w:color="000000" w:sz="6" w:space="0"/>
              <w:left w:val="single" w:color="000000" w:sz="6" w:space="0"/>
              <w:bottom w:val="single" w:color="000000" w:sz="6" w:space="0"/>
              <w:right w:val="single" w:color="000000" w:sz="6" w:space="0"/>
            </w:tcBorders>
          </w:tcPr>
          <w:p w14:paraId="06415EBB">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0</w:t>
            </w:r>
            <w:r>
              <w:rPr>
                <w:rFonts w:ascii="宋体" w:hAnsi="宋体" w:cs="宋体"/>
                <w:kern w:val="0"/>
                <w:sz w:val="24"/>
              </w:rPr>
              <w:t xml:space="preserve"> </w:t>
            </w:r>
          </w:p>
        </w:tc>
      </w:tr>
      <w:tr w14:paraId="035E96F9">
        <w:tblPrEx>
          <w:tblCellMar>
            <w:top w:w="15" w:type="dxa"/>
            <w:left w:w="15" w:type="dxa"/>
            <w:bottom w:w="15" w:type="dxa"/>
            <w:right w:w="15" w:type="dxa"/>
          </w:tblCellMar>
        </w:tblPrEx>
        <w:tc>
          <w:tcPr>
            <w:tcW w:w="2142" w:type="dxa"/>
            <w:tcBorders>
              <w:top w:val="single" w:color="000000" w:sz="6" w:space="0"/>
              <w:left w:val="single" w:color="000000" w:sz="6" w:space="0"/>
              <w:bottom w:val="single" w:color="000000" w:sz="6" w:space="0"/>
              <w:right w:val="single" w:color="000000" w:sz="6" w:space="0"/>
            </w:tcBorders>
          </w:tcPr>
          <w:p w14:paraId="6685F653">
            <w:pPr>
              <w:widowControl/>
              <w:spacing w:before="100" w:beforeAutospacing="1" w:after="100" w:afterAutospacing="1"/>
              <w:ind w:firstLine="560"/>
              <w:jc w:val="center"/>
              <w:rPr>
                <w:rFonts w:ascii="宋体" w:hAnsi="宋体" w:cs="宋体"/>
                <w:kern w:val="0"/>
                <w:sz w:val="24"/>
              </w:rPr>
            </w:pPr>
            <w:r>
              <w:rPr>
                <w:rFonts w:hint="eastAsia" w:ascii="宋体" w:hAnsi="宋体" w:cs="宋体"/>
                <w:kern w:val="0"/>
                <w:sz w:val="27"/>
                <w:szCs w:val="27"/>
              </w:rPr>
              <w:t>合    计</w:t>
            </w:r>
            <w:r>
              <w:rPr>
                <w:rFonts w:ascii="宋体" w:hAnsi="宋体" w:cs="宋体"/>
                <w:kern w:val="0"/>
                <w:sz w:val="24"/>
              </w:rPr>
              <w:t xml:space="preserve"> </w:t>
            </w:r>
          </w:p>
        </w:tc>
        <w:tc>
          <w:tcPr>
            <w:tcW w:w="1785" w:type="dxa"/>
            <w:tcBorders>
              <w:top w:val="single" w:color="000000" w:sz="6" w:space="0"/>
              <w:left w:val="single" w:color="000000" w:sz="6" w:space="0"/>
              <w:bottom w:val="single" w:color="000000" w:sz="6" w:space="0"/>
              <w:right w:val="single" w:color="000000" w:sz="6" w:space="0"/>
            </w:tcBorders>
          </w:tcPr>
          <w:p w14:paraId="24F897A3">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19.10</w:t>
            </w:r>
          </w:p>
        </w:tc>
        <w:tc>
          <w:tcPr>
            <w:tcW w:w="2080" w:type="dxa"/>
            <w:tcBorders>
              <w:top w:val="single" w:color="000000" w:sz="6" w:space="0"/>
              <w:left w:val="single" w:color="000000" w:sz="6" w:space="0"/>
              <w:bottom w:val="single" w:color="000000" w:sz="6" w:space="0"/>
              <w:right w:val="single" w:color="000000" w:sz="6" w:space="0"/>
            </w:tcBorders>
          </w:tcPr>
          <w:p w14:paraId="4DBF8461">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14.17</w:t>
            </w:r>
          </w:p>
        </w:tc>
        <w:tc>
          <w:tcPr>
            <w:tcW w:w="2329" w:type="dxa"/>
            <w:tcBorders>
              <w:top w:val="single" w:color="000000" w:sz="6" w:space="0"/>
              <w:left w:val="single" w:color="000000" w:sz="6" w:space="0"/>
              <w:bottom w:val="single" w:color="000000" w:sz="6" w:space="0"/>
              <w:right w:val="single" w:color="000000" w:sz="6" w:space="0"/>
            </w:tcBorders>
          </w:tcPr>
          <w:p w14:paraId="7787D17E">
            <w:pPr>
              <w:widowControl/>
              <w:spacing w:before="100" w:beforeAutospacing="1" w:after="100" w:afterAutospacing="1"/>
              <w:ind w:firstLine="560"/>
              <w:jc w:val="left"/>
              <w:rPr>
                <w:rFonts w:ascii="宋体" w:hAnsi="宋体" w:cs="宋体"/>
                <w:kern w:val="0"/>
                <w:sz w:val="24"/>
              </w:rPr>
            </w:pPr>
            <w:r>
              <w:rPr>
                <w:rFonts w:hint="eastAsia" w:ascii="宋体" w:hAnsi="宋体" w:cs="宋体"/>
                <w:kern w:val="0"/>
                <w:sz w:val="27"/>
                <w:szCs w:val="27"/>
              </w:rPr>
              <w:t>-4.93</w:t>
            </w:r>
          </w:p>
        </w:tc>
      </w:tr>
    </w:tbl>
    <w:p w14:paraId="7C98EDA9">
      <w:pPr>
        <w:adjustRightInd w:val="0"/>
        <w:snapToGrid w:val="0"/>
        <w:spacing w:line="600" w:lineRule="exact"/>
        <w:rPr>
          <w:rFonts w:eastAsia="黑体"/>
          <w:sz w:val="32"/>
          <w:szCs w:val="32"/>
        </w:rPr>
      </w:pPr>
      <w:r>
        <w:rPr>
          <w:rFonts w:hint="eastAsia" w:eastAsia="仿宋_GB2312"/>
          <w:sz w:val="32"/>
          <w:szCs w:val="32"/>
        </w:rPr>
        <w:t>我局严格贯彻落实《关于党政机关厉行节约若干问题的通知》的文件精神。其中“三公”经费这块秉着“厉行节约，经费只降不增”的原则，扎实推进监督管理的常态化、规范化和制度化，不断推进厉行节约，规范公务消费行为，同比上年有了较明显的下降，体现了机关厉行节约的成效。</w:t>
      </w:r>
    </w:p>
    <w:p w14:paraId="133E65F7">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（三）专项支出</w:t>
      </w:r>
    </w:p>
    <w:p w14:paraId="4746E367">
      <w:pPr>
        <w:adjustRightInd w:val="0"/>
        <w:snapToGrid w:val="0"/>
        <w:spacing w:line="600" w:lineRule="exact"/>
        <w:ind w:firstLine="640" w:firstLineChars="200"/>
        <w:rPr>
          <w:rFonts w:eastAsia="仿宋_GB2312"/>
          <w:sz w:val="32"/>
          <w:szCs w:val="32"/>
        </w:rPr>
      </w:pPr>
      <w:r>
        <w:rPr>
          <w:rFonts w:hint="eastAsia" w:eastAsia="仿宋_GB2312"/>
          <w:sz w:val="32"/>
          <w:szCs w:val="32"/>
        </w:rPr>
        <w:t>1、根据市综治委的工作部署，为促进市直和部省属驻邵单位进一步落实社会管理综合治理措施，教育引导广大干部职工增强大局观念、主人翁意识，客观、公正评价我市综合治理工作，维护邵阳良好形象，促进我市经济社会又好又快发展。对市直和部省属驻邵单位开展社会管理综合治理民意调查。2021年单位年初预算市财政安排项目资金50万元。本项目资金无虚列支出、截留挤占挪用、超标准开支、无超预算等情况。</w:t>
      </w:r>
    </w:p>
    <w:p w14:paraId="53A166EF">
      <w:pPr>
        <w:adjustRightInd w:val="0"/>
        <w:snapToGrid w:val="0"/>
        <w:spacing w:line="600" w:lineRule="exact"/>
        <w:ind w:firstLine="640" w:firstLineChars="200"/>
        <w:rPr>
          <w:rFonts w:eastAsia="仿宋_GB2312"/>
          <w:sz w:val="32"/>
          <w:szCs w:val="32"/>
        </w:rPr>
      </w:pPr>
      <w:r>
        <w:rPr>
          <w:rFonts w:hint="eastAsia" w:eastAsia="仿宋_GB2312"/>
          <w:sz w:val="32"/>
          <w:szCs w:val="32"/>
        </w:rPr>
        <w:t>民调中心于</w:t>
      </w: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12</w:t>
      </w:r>
      <w:r>
        <w:rPr>
          <w:rFonts w:eastAsia="仿宋_GB2312"/>
          <w:sz w:val="32"/>
          <w:szCs w:val="32"/>
        </w:rPr>
        <w:t>月</w:t>
      </w:r>
      <w:r>
        <w:rPr>
          <w:rFonts w:hint="eastAsia" w:eastAsia="仿宋_GB2312"/>
          <w:sz w:val="32"/>
          <w:szCs w:val="32"/>
        </w:rPr>
        <w:t>7</w:t>
      </w:r>
      <w:r>
        <w:rPr>
          <w:rFonts w:eastAsia="仿宋_GB2312"/>
          <w:sz w:val="32"/>
          <w:szCs w:val="32"/>
        </w:rPr>
        <w:t>日至</w:t>
      </w:r>
      <w:r>
        <w:rPr>
          <w:rFonts w:hint="eastAsia" w:eastAsia="仿宋_GB2312"/>
          <w:sz w:val="32"/>
          <w:szCs w:val="32"/>
        </w:rPr>
        <w:t>12</w:t>
      </w:r>
      <w:r>
        <w:rPr>
          <w:rFonts w:eastAsia="仿宋_GB2312"/>
          <w:sz w:val="32"/>
          <w:szCs w:val="32"/>
        </w:rPr>
        <w:t>月</w:t>
      </w:r>
      <w:r>
        <w:rPr>
          <w:rFonts w:hint="eastAsia" w:eastAsia="仿宋_GB2312"/>
          <w:sz w:val="32"/>
          <w:szCs w:val="32"/>
        </w:rPr>
        <w:t>29</w:t>
      </w:r>
      <w:r>
        <w:rPr>
          <w:rFonts w:eastAsia="仿宋_GB2312"/>
          <w:sz w:val="32"/>
          <w:szCs w:val="32"/>
        </w:rPr>
        <w:t>日对全市</w:t>
      </w:r>
      <w:r>
        <w:rPr>
          <w:rFonts w:hint="eastAsia" w:eastAsia="仿宋_GB2312"/>
          <w:sz w:val="32"/>
          <w:szCs w:val="32"/>
        </w:rPr>
        <w:t>199个</w:t>
      </w:r>
      <w:r>
        <w:rPr>
          <w:rFonts w:eastAsia="仿宋_GB2312"/>
          <w:sz w:val="32"/>
          <w:szCs w:val="32"/>
        </w:rPr>
        <w:t>市直和省属驻邵单位</w:t>
      </w:r>
      <w:r>
        <w:rPr>
          <w:rFonts w:hint="eastAsia" w:eastAsia="仿宋_GB2312"/>
          <w:sz w:val="32"/>
          <w:szCs w:val="32"/>
        </w:rPr>
        <w:t>开展了“2021年下半年单位干部职工公众安全感和联</w:t>
      </w:r>
      <w:r>
        <w:rPr>
          <w:rFonts w:eastAsia="仿宋_GB2312"/>
          <w:sz w:val="32"/>
          <w:szCs w:val="32"/>
        </w:rPr>
        <w:t>户走访</w:t>
      </w:r>
      <w:r>
        <w:rPr>
          <w:rFonts w:hint="eastAsia" w:eastAsia="仿宋_GB2312"/>
          <w:sz w:val="32"/>
          <w:szCs w:val="32"/>
        </w:rPr>
        <w:t>活动</w:t>
      </w:r>
      <w:r>
        <w:rPr>
          <w:rFonts w:eastAsia="仿宋_GB2312"/>
          <w:sz w:val="32"/>
          <w:szCs w:val="32"/>
        </w:rPr>
        <w:t>民意调查</w:t>
      </w:r>
      <w:r>
        <w:rPr>
          <w:rFonts w:hint="eastAsia" w:eastAsia="仿宋_GB2312"/>
          <w:sz w:val="32"/>
          <w:szCs w:val="32"/>
        </w:rPr>
        <w:t>”。于2021年5月7日至7月10日对全市206个乡镇（街道、场）开展“2020年上半年公众安全感民意调查”。于2020年10月12日至12月25日对全市206个乡镇（街道、场）开展了“2021年下半年公众安全感民意调查”。以年龄在16周岁及以上、近半年在某乡镇（街道、场）居住（或工作）的城乡居民为访问对象。按“户籍人口数1万人以下的乡镇30个样本，1万人至5万人之间的乡镇40个样本，5万人以上的乡镇50个样本”的规则确定每个</w:t>
      </w:r>
      <w:r>
        <w:rPr>
          <w:rFonts w:eastAsia="仿宋_GB2312"/>
          <w:sz w:val="32"/>
          <w:szCs w:val="32"/>
        </w:rPr>
        <w:t>乡镇的目标有效样本数</w:t>
      </w:r>
      <w:r>
        <w:rPr>
          <w:rFonts w:hint="eastAsia" w:eastAsia="仿宋_GB2312"/>
          <w:sz w:val="32"/>
          <w:szCs w:val="32"/>
        </w:rPr>
        <w:t>。得出2021年上、下半年乡镇（街道、场）公众安全感民意调查报告2份；2020年市直和部省属驻邵单位民意调查报告1份。</w:t>
      </w:r>
    </w:p>
    <w:p w14:paraId="73B045EB">
      <w:pPr>
        <w:adjustRightInd w:val="0"/>
        <w:snapToGrid w:val="0"/>
        <w:spacing w:line="600" w:lineRule="exact"/>
        <w:ind w:firstLine="640" w:firstLineChars="200"/>
        <w:rPr>
          <w:rFonts w:eastAsia="黑体"/>
          <w:sz w:val="32"/>
          <w:szCs w:val="32"/>
        </w:rPr>
      </w:pPr>
      <w:r>
        <w:rPr>
          <w:rFonts w:hint="eastAsia" w:eastAsia="黑体"/>
          <w:sz w:val="32"/>
          <w:szCs w:val="32"/>
        </w:rPr>
        <w:t>三、资产管理情况</w:t>
      </w:r>
    </w:p>
    <w:p w14:paraId="2BF429DD">
      <w:pPr>
        <w:adjustRightInd w:val="0"/>
        <w:snapToGrid w:val="0"/>
        <w:spacing w:line="600" w:lineRule="exact"/>
        <w:ind w:firstLine="640" w:firstLineChars="200"/>
        <w:rPr>
          <w:rFonts w:eastAsia="仿宋_GB2312"/>
          <w:sz w:val="32"/>
          <w:szCs w:val="32"/>
        </w:rPr>
      </w:pPr>
      <w:r>
        <w:rPr>
          <w:rFonts w:hint="eastAsia" w:eastAsia="仿宋_GB2312"/>
          <w:sz w:val="32"/>
          <w:szCs w:val="32"/>
        </w:rPr>
        <w:t>2021年固定资产期末数为356.42万元，较年初数354.08万元增加2.34万元，今年固定资产的增加主要是办公桌椅和办公室空调等设备的采购。以上固定资产的购买均符合本局的年初预算，固定资产的购买保证了本局的各项统计业务的正常开展。在资产采购管理上，参照财政相关文件为标准，严格执行了政府采购制度。</w:t>
      </w:r>
    </w:p>
    <w:p w14:paraId="5343664D">
      <w:pPr>
        <w:adjustRightInd w:val="0"/>
        <w:snapToGrid w:val="0"/>
        <w:spacing w:line="60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绩效评价工作情况</w:t>
      </w:r>
    </w:p>
    <w:p w14:paraId="29F4DD91">
      <w:pPr>
        <w:pStyle w:val="6"/>
        <w:spacing w:after="0" w:line="560" w:lineRule="exact"/>
        <w:ind w:left="0" w:leftChars="0" w:firstLine="640"/>
        <w:rPr>
          <w:rFonts w:hint="eastAsia" w:ascii="仿宋" w:hAnsi="仿宋" w:eastAsia="仿宋" w:cs="仿宋"/>
          <w:szCs w:val="32"/>
        </w:rPr>
      </w:pPr>
      <w:r>
        <w:rPr>
          <w:rFonts w:hint="eastAsia" w:ascii="仿宋" w:hAnsi="仿宋" w:eastAsia="仿宋" w:cs="仿宋"/>
          <w:szCs w:val="32"/>
        </w:rPr>
        <w:t>2021年，全市统计系统认真履行统计职能，致力推动统计工作水平上台阶，服务邵阳高质量发展大局，突出抓了以下重工作：</w:t>
      </w:r>
    </w:p>
    <w:p w14:paraId="5E0CEBC8">
      <w:pPr>
        <w:pStyle w:val="15"/>
        <w:tabs>
          <w:tab w:val="left" w:pos="7980"/>
        </w:tabs>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（一）坚持以“法治化”推动统计工作高质量发展。</w:t>
      </w:r>
    </w:p>
    <w:p w14:paraId="4A2E09F9">
      <w:pPr>
        <w:shd w:val="clear" w:color="auto" w:fill="FFFFFF"/>
        <w:spacing w:line="560" w:lineRule="exact"/>
        <w:ind w:firstLine="964" w:firstLineChars="300"/>
        <w:rPr>
          <w:rFonts w:hint="eastAsia" w:ascii="仿宋" w:hAnsi="仿宋" w:eastAsia="仿宋" w:cs="仿宋"/>
          <w:bCs/>
          <w:sz w:val="32"/>
          <w:szCs w:val="32"/>
        </w:rPr>
      </w:pPr>
      <w:r>
        <w:rPr>
          <w:rFonts w:hint="eastAsia" w:ascii="仿宋" w:hAnsi="仿宋" w:eastAsia="仿宋" w:cs="仿宋"/>
          <w:b/>
          <w:sz w:val="32"/>
          <w:szCs w:val="32"/>
        </w:rPr>
        <w:t>一是坚持高标准政治站位认真贯彻落实</w:t>
      </w:r>
      <w:r>
        <w:rPr>
          <w:rFonts w:hint="eastAsia" w:ascii="仿宋" w:hAnsi="仿宋" w:eastAsia="仿宋" w:cs="仿宋"/>
          <w:b/>
          <w:sz w:val="32"/>
          <w:szCs w:val="32"/>
          <w:lang w:eastAsia="zh-CN"/>
        </w:rPr>
        <w:t>习近平总书记关于统计工作重要讲话和重要指示批示精神</w:t>
      </w:r>
      <w:r>
        <w:rPr>
          <w:rFonts w:hint="eastAsia" w:ascii="仿宋" w:hAnsi="仿宋" w:eastAsia="仿宋" w:cs="仿宋"/>
          <w:b/>
          <w:sz w:val="32"/>
          <w:szCs w:val="32"/>
        </w:rPr>
        <w:t>和党中央、国务院、省委省政府、市委市政府决策部署。</w:t>
      </w:r>
      <w:r>
        <w:rPr>
          <w:rStyle w:val="12"/>
          <w:rFonts w:hint="eastAsia" w:ascii="仿宋" w:hAnsi="仿宋" w:eastAsia="仿宋" w:cs="仿宋"/>
          <w:sz w:val="32"/>
          <w:szCs w:val="32"/>
        </w:rPr>
        <w:t>推动全市认真传达学习领会习近平总书记关于统计工作的重要讲话指示批示精神以及党中央、国务院和省委、省政府关于统计改革发展的系列决策部署。3月15日市政府第6次政府常务会议和4月29日市委常委会议学习了习近平总书记关于统计工作重要指示批示精神和中央《意见》《办法》《规定》，听取了市统计局贯彻落实全省统计工作会议和全市统计工作汇报。3月26日、</w:t>
      </w:r>
      <w:r>
        <w:rPr>
          <w:rFonts w:hint="eastAsia" w:ascii="仿宋" w:hAnsi="仿宋" w:eastAsia="仿宋" w:cs="仿宋"/>
          <w:sz w:val="32"/>
          <w:szCs w:val="32"/>
        </w:rPr>
        <w:t>8月29日分别召开了全市统计工作会议和配合保障国家统计督察工作动员部署会议，再次组织学习了</w:t>
      </w:r>
      <w:r>
        <w:rPr>
          <w:rStyle w:val="12"/>
          <w:rFonts w:hint="eastAsia" w:ascii="仿宋" w:hAnsi="仿宋" w:eastAsia="仿宋" w:cs="仿宋"/>
          <w:sz w:val="32"/>
          <w:szCs w:val="32"/>
        </w:rPr>
        <w:t>习近平总书记关于统计工作的重要讲话指示批示精神和中央《意见》《办法》《规定》</w:t>
      </w:r>
      <w:r>
        <w:rPr>
          <w:rFonts w:hint="eastAsia" w:ascii="仿宋" w:hAnsi="仿宋" w:eastAsia="仿宋" w:cs="仿宋"/>
          <w:sz w:val="32"/>
          <w:szCs w:val="32"/>
        </w:rPr>
        <w:t>。在全省领导干部统计专题培训会议后以书面形式向市政府主要领导汇报了谢建辉常务副省长和省统计局刘文杰局长的讲话精神，争取市政府对统计工作最大支持。市统计局对照省局下发的《统计督察初步反馈问题立行立改十条措施》的通知要求，局党组第一时间组织了学习，要求全市统计系统及</w:t>
      </w:r>
      <w:r>
        <w:rPr>
          <w:rFonts w:hint="eastAsia" w:ascii="仿宋" w:hAnsi="仿宋" w:eastAsia="仿宋" w:cs="仿宋"/>
          <w:kern w:val="0"/>
          <w:sz w:val="32"/>
          <w:szCs w:val="32"/>
        </w:rPr>
        <w:t>全市各级各有关部门</w:t>
      </w:r>
      <w:r>
        <w:rPr>
          <w:rFonts w:hint="eastAsia" w:ascii="仿宋" w:hAnsi="仿宋" w:eastAsia="仿宋" w:cs="仿宋"/>
          <w:sz w:val="32"/>
          <w:szCs w:val="32"/>
        </w:rPr>
        <w:t>以高度的政治敏锐性，进一步深入学习贯彻</w:t>
      </w:r>
      <w:r>
        <w:rPr>
          <w:rFonts w:hint="eastAsia" w:ascii="仿宋" w:hAnsi="仿宋" w:eastAsia="仿宋" w:cs="仿宋"/>
          <w:sz w:val="32"/>
          <w:szCs w:val="32"/>
          <w:lang w:eastAsia="zh-CN"/>
        </w:rPr>
        <w:t>习近平总书记关于统计工作重要讲话和重要指示批示精神</w:t>
      </w:r>
      <w:r>
        <w:rPr>
          <w:rFonts w:hint="eastAsia" w:ascii="仿宋" w:hAnsi="仿宋" w:eastAsia="仿宋" w:cs="仿宋"/>
          <w:sz w:val="32"/>
          <w:szCs w:val="32"/>
        </w:rPr>
        <w:t>，积极履行统计法定职责，严格落实防范和惩治统计造假弄虚作假责任制；以优良的作风，切实做好统计督察初步反馈问题立行立改工作。3月中旬，邵阳市统计局联合驻市发改委纪检组成立六个调研工作组，由局党组成员和驻发改委纪检组领导任组长带队对全市各县市区地方党委政府、统计部门和发改、工信、商务等相关经济部门学习贯彻落实习近平总书记对统计工作重要讲话指示批示精神和中央、省、市关于统计工作重大决策部署落实情况进行调研，调研结束后向当地党委、政府和相关部门主要领导通报了调研情况和需要整改的问题。9月底到10月初市委督查室牵头对全市12个县市区贯彻落实</w:t>
      </w:r>
      <w:r>
        <w:rPr>
          <w:rStyle w:val="12"/>
          <w:rFonts w:hint="eastAsia" w:ascii="仿宋" w:hAnsi="仿宋" w:eastAsia="仿宋" w:cs="仿宋"/>
          <w:sz w:val="32"/>
          <w:szCs w:val="32"/>
          <w:lang w:eastAsia="zh-CN"/>
        </w:rPr>
        <w:t>习近平总书记关于统计工作重要讲话和重要指示批示精神</w:t>
      </w:r>
      <w:r>
        <w:rPr>
          <w:rStyle w:val="12"/>
          <w:rFonts w:hint="eastAsia" w:ascii="仿宋" w:hAnsi="仿宋" w:eastAsia="仿宋" w:cs="仿宋"/>
          <w:sz w:val="32"/>
          <w:szCs w:val="32"/>
        </w:rPr>
        <w:t>和中央《意见》《办法》《规定》情况进行了督查，并及时反馈了督查整改意见。</w:t>
      </w:r>
      <w:r>
        <w:rPr>
          <w:rFonts w:hint="eastAsia" w:ascii="仿宋" w:hAnsi="仿宋" w:eastAsia="仿宋" w:cs="仿宋"/>
          <w:sz w:val="32"/>
          <w:szCs w:val="32"/>
        </w:rPr>
        <w:t>12月计划将</w:t>
      </w:r>
      <w:r>
        <w:rPr>
          <w:rStyle w:val="12"/>
          <w:rFonts w:hint="eastAsia" w:ascii="仿宋" w:hAnsi="仿宋" w:eastAsia="仿宋" w:cs="仿宋"/>
          <w:sz w:val="32"/>
          <w:szCs w:val="32"/>
          <w:lang w:eastAsia="zh-CN"/>
        </w:rPr>
        <w:t>习近平总书记关于统计工作重要讲话和重要指示批示精神</w:t>
      </w:r>
      <w:r>
        <w:rPr>
          <w:rStyle w:val="12"/>
          <w:rFonts w:hint="eastAsia" w:ascii="仿宋" w:hAnsi="仿宋" w:eastAsia="仿宋" w:cs="仿宋"/>
          <w:sz w:val="32"/>
          <w:szCs w:val="32"/>
        </w:rPr>
        <w:t>和中央《意见》《办法》《规定》的再学习和我市对国家统计督察初步反馈问题的整改落实意见纳入</w:t>
      </w:r>
      <w:r>
        <w:rPr>
          <w:rFonts w:hint="eastAsia" w:ascii="仿宋" w:hAnsi="仿宋" w:eastAsia="仿宋" w:cs="仿宋"/>
          <w:sz w:val="32"/>
          <w:szCs w:val="32"/>
        </w:rPr>
        <w:t>市政府常务会议和市委常委会议议题，以进一步</w:t>
      </w:r>
      <w:r>
        <w:rPr>
          <w:rStyle w:val="12"/>
          <w:rFonts w:hint="eastAsia" w:ascii="仿宋" w:hAnsi="仿宋" w:eastAsia="仿宋" w:cs="仿宋"/>
          <w:sz w:val="32"/>
          <w:szCs w:val="32"/>
        </w:rPr>
        <w:t>提高各级领导干部的统计法治观念，</w:t>
      </w:r>
      <w:r>
        <w:rPr>
          <w:rFonts w:hint="eastAsia" w:ascii="仿宋" w:hAnsi="仿宋" w:eastAsia="仿宋" w:cs="仿宋"/>
          <w:bCs/>
          <w:sz w:val="32"/>
          <w:szCs w:val="32"/>
        </w:rPr>
        <w:t>为全市深入推进依法统计、科学统计、精准统计、清廉统计营造良好的生态环境。</w:t>
      </w:r>
    </w:p>
    <w:p w14:paraId="49DF30EA">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二是建章立制，确保统计法治工作取得实效。</w:t>
      </w:r>
      <w:r>
        <w:rPr>
          <w:rFonts w:hint="eastAsia" w:ascii="仿宋" w:hAnsi="仿宋" w:eastAsia="仿宋" w:cs="仿宋"/>
          <w:bCs/>
          <w:sz w:val="32"/>
          <w:szCs w:val="32"/>
        </w:rPr>
        <w:t>持续推进统计执法监督规范化建设，进一步完善了《邵阳市统计行政处罚裁量权基准》、《邵阳市统计局统计违法举报线索管理办法》、《邵阳市统计局双随机抽查办法》、《统计资料保管保密及公布制度》、《邵阳市统计局关于统计机构负责人和统计人员防范和惩治统计造假弄虚作假责任制实施办法》、《邵阳市统计局统计数据管理和评估办法》等制度文件。为做好迎接</w:t>
      </w:r>
      <w:r>
        <w:rPr>
          <w:rFonts w:hint="eastAsia" w:ascii="仿宋" w:hAnsi="仿宋" w:eastAsia="仿宋" w:cs="仿宋"/>
          <w:sz w:val="32"/>
          <w:szCs w:val="32"/>
        </w:rPr>
        <w:t>国家统计督察准备工作，认真梳理清查了全市统计相关的文件制度，结合邵阳实际，下发了《邵阳市贯彻落实统计督察工作方案》、《邵阳市统计局关于开展“五查五看”回头看专项行动的通知》、《邵阳市统计局办公室关于组织中央有关文件精神和统计法律法规知识学习考试的通知》、《邵阳市统计局办公室关于做好全面清理纠正违反统计法精神文件和做法工作的通知》等一系列文件，进一步推进依法统计、依法治统。</w:t>
      </w:r>
    </w:p>
    <w:p w14:paraId="3DB948E0">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三是强化统计法治宣传，营造依法统计的社会氛围。</w:t>
      </w:r>
      <w:r>
        <w:rPr>
          <w:rFonts w:hint="eastAsia" w:ascii="仿宋" w:hAnsi="仿宋" w:eastAsia="仿宋" w:cs="仿宋"/>
          <w:sz w:val="32"/>
          <w:szCs w:val="32"/>
        </w:rPr>
        <w:t>以“中国统计开放日”，“12.4”宪法宣传日和“12·8”《统计法》颁布纪念日为契机，开展多种形式的户外宣传活动，让广大群众知晓统计法、了解统计工作；通过实地核查数据、调研等机会，发放统计宣传资料、讲解统计法，让被检查单位、统计调查对象、广大市民了解统计法律法规知识，知晓其法定权利和义务；借助全市各级党委（党组）理论中心组集中学习，统计法进党校，有针对性地开展统计法治教育，强化全市各级领导干部统计法治思维。</w:t>
      </w:r>
    </w:p>
    <w:p w14:paraId="2A3F937E">
      <w:pPr>
        <w:spacing w:line="560" w:lineRule="exact"/>
        <w:ind w:firstLine="643" w:firstLineChars="200"/>
        <w:contextualSpacing/>
        <w:rPr>
          <w:rStyle w:val="12"/>
          <w:rFonts w:hint="eastAsia" w:ascii="仿宋" w:hAnsi="仿宋" w:eastAsia="仿宋" w:cs="仿宋"/>
          <w:sz w:val="32"/>
          <w:szCs w:val="32"/>
        </w:rPr>
      </w:pPr>
      <w:r>
        <w:rPr>
          <w:rFonts w:hint="eastAsia" w:ascii="仿宋" w:hAnsi="仿宋" w:eastAsia="仿宋" w:cs="仿宋"/>
          <w:b/>
          <w:bCs/>
          <w:sz w:val="32"/>
          <w:szCs w:val="32"/>
        </w:rPr>
        <w:t>四是着力发挥统计监督职能，扎实开展“双随机”统计执法检查，确保统计数据质量。</w:t>
      </w:r>
      <w:r>
        <w:rPr>
          <w:rFonts w:hint="eastAsia" w:ascii="仿宋" w:hAnsi="仿宋" w:eastAsia="仿宋" w:cs="仿宋"/>
          <w:sz w:val="32"/>
          <w:szCs w:val="32"/>
        </w:rPr>
        <w:t>为推动全市各级各相关部门、各企业形成不敢假、不能假、不想假的良好统计生态，市统计局严格按照“双随机”的要求扎实开展了统计执法检查。2021年市本级对</w:t>
      </w:r>
      <w:r>
        <w:rPr>
          <w:rStyle w:val="12"/>
          <w:rFonts w:hint="eastAsia" w:ascii="仿宋" w:hAnsi="仿宋" w:eastAsia="仿宋" w:cs="仿宋"/>
          <w:sz w:val="32"/>
          <w:szCs w:val="32"/>
        </w:rPr>
        <w:t>2个县市区</w:t>
      </w:r>
      <w:r>
        <w:rPr>
          <w:rFonts w:hint="eastAsia" w:ascii="仿宋" w:hAnsi="仿宋" w:eastAsia="仿宋" w:cs="仿宋"/>
          <w:sz w:val="32"/>
          <w:szCs w:val="32"/>
        </w:rPr>
        <w:t>进行了统计巡查和“双随机”抽查了</w:t>
      </w:r>
      <w:r>
        <w:rPr>
          <w:rStyle w:val="12"/>
          <w:rFonts w:hint="eastAsia" w:ascii="仿宋" w:hAnsi="仿宋" w:eastAsia="仿宋" w:cs="仿宋"/>
          <w:sz w:val="32"/>
          <w:szCs w:val="32"/>
        </w:rPr>
        <w:t>16家企业</w:t>
      </w:r>
      <w:r>
        <w:rPr>
          <w:rFonts w:hint="eastAsia" w:ascii="仿宋" w:hAnsi="仿宋" w:eastAsia="仿宋" w:cs="仿宋"/>
          <w:sz w:val="32"/>
          <w:szCs w:val="32"/>
        </w:rPr>
        <w:t>，对企业统计工作不够规范的行为进行了问题交办，并责令限期整改，充分发挥了统计监督职能。</w:t>
      </w:r>
    </w:p>
    <w:p w14:paraId="1DDD271B">
      <w:pPr>
        <w:pStyle w:val="5"/>
        <w:spacing w:line="560" w:lineRule="exact"/>
        <w:ind w:firstLine="643" w:firstLineChars="200"/>
        <w:jc w:val="both"/>
        <w:rPr>
          <w:rFonts w:hint="eastAsia" w:ascii="楷体" w:hAnsi="楷体" w:eastAsia="楷体" w:cs="楷体"/>
          <w:b/>
          <w:sz w:val="32"/>
          <w:szCs w:val="32"/>
        </w:rPr>
      </w:pPr>
      <w:r>
        <w:rPr>
          <w:rFonts w:hint="eastAsia" w:ascii="楷体" w:hAnsi="楷体" w:eastAsia="楷体" w:cs="楷体"/>
          <w:b/>
          <w:sz w:val="32"/>
          <w:szCs w:val="32"/>
        </w:rPr>
        <w:t>（二）坚持以高水平统计监测分析，为全市经济高质量发展提供优质高效统计服务。</w:t>
      </w:r>
    </w:p>
    <w:p w14:paraId="5D97279E">
      <w:pPr>
        <w:pStyle w:val="5"/>
        <w:spacing w:line="560" w:lineRule="exact"/>
        <w:ind w:firstLine="643" w:firstLineChars="200"/>
        <w:jc w:val="both"/>
        <w:rPr>
          <w:rStyle w:val="12"/>
          <w:rFonts w:hint="eastAsia" w:ascii="仿宋" w:hAnsi="仿宋" w:eastAsia="仿宋" w:cs="仿宋"/>
          <w:sz w:val="32"/>
          <w:szCs w:val="32"/>
        </w:rPr>
      </w:pPr>
      <w:r>
        <w:rPr>
          <w:rStyle w:val="12"/>
          <w:rFonts w:hint="eastAsia" w:ascii="仿宋" w:hAnsi="仿宋" w:eastAsia="仿宋" w:cs="仿宋"/>
          <w:b/>
          <w:bCs/>
          <w:sz w:val="32"/>
          <w:szCs w:val="32"/>
        </w:rPr>
        <w:t>一是始终坚持抓好核算工作，</w:t>
      </w:r>
      <w:r>
        <w:rPr>
          <w:rFonts w:hint="eastAsia" w:ascii="仿宋" w:hAnsi="仿宋" w:eastAsia="仿宋" w:cs="仿宋"/>
          <w:b/>
          <w:bCs/>
          <w:kern w:val="2"/>
          <w:sz w:val="32"/>
          <w:szCs w:val="32"/>
        </w:rPr>
        <w:t>规范优化统计监测分析。</w:t>
      </w:r>
      <w:r>
        <w:rPr>
          <w:rFonts w:hint="eastAsia" w:ascii="仿宋" w:hAnsi="仿宋" w:eastAsia="仿宋" w:cs="仿宋"/>
          <w:kern w:val="2"/>
          <w:sz w:val="32"/>
          <w:szCs w:val="32"/>
        </w:rPr>
        <w:t>不断提高统计运行分析的精准度，局领导班子成员认真审核把关，从历史的角度比对、横向比对统计数据，搞清楚统计指标之间的关联，对重要行业、重点领域、重要骨干企业重点关注，准确把握全市经济发展的“形”与“势”、“数”与“据”、“谋”与“策”。</w:t>
      </w:r>
      <w:r>
        <w:rPr>
          <w:rStyle w:val="12"/>
          <w:rFonts w:hint="eastAsia" w:ascii="仿宋" w:hAnsi="仿宋" w:eastAsia="仿宋" w:cs="仿宋"/>
          <w:sz w:val="32"/>
          <w:szCs w:val="32"/>
        </w:rPr>
        <w:t>每月、每季度在省经济社会数据反馈后，通过专业数据查找问题和差距，第一时间对GDP核算指标的影响因素进行深度分析，形成促进全市经济发展的专业分析意见建议呈报给市主要领导决策使用,实现早监测、早分析、早预警。今年以来，共撰写80多篇统计分析研究材料，“两办”采用20篇次。</w:t>
      </w:r>
    </w:p>
    <w:p w14:paraId="13455A84">
      <w:pPr>
        <w:pStyle w:val="5"/>
        <w:spacing w:line="560" w:lineRule="exact"/>
        <w:ind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rPr>
        <w:t>二是强弱项补短板，不断提升干部职工统计分析研判的能力。</w:t>
      </w:r>
      <w:r>
        <w:rPr>
          <w:rFonts w:hint="eastAsia" w:ascii="仿宋" w:hAnsi="仿宋" w:eastAsia="仿宋" w:cs="仿宋"/>
          <w:kern w:val="2"/>
          <w:sz w:val="32"/>
          <w:szCs w:val="32"/>
        </w:rPr>
        <w:t>针对日常工作中的知识短板、经验能力弱项，每月通过开展工作研讨会（例会），结合科室岗位特点，围绕统计改革、分析监测、方法制度等统计业务开展“学理论讲业务”，提升统计干部专业间互通、业务间交流，不断提升干部的统计服务能力。</w:t>
      </w:r>
    </w:p>
    <w:p w14:paraId="120F4730">
      <w:pPr>
        <w:pStyle w:val="5"/>
        <w:spacing w:line="560" w:lineRule="exact"/>
        <w:ind w:firstLine="643" w:firstLineChars="200"/>
        <w:jc w:val="both"/>
        <w:rPr>
          <w:rFonts w:hint="eastAsia" w:ascii="仿宋" w:hAnsi="仿宋" w:eastAsia="仿宋" w:cs="仿宋"/>
          <w:b/>
          <w:sz w:val="32"/>
          <w:szCs w:val="32"/>
        </w:rPr>
      </w:pPr>
      <w:r>
        <w:rPr>
          <w:rFonts w:hint="eastAsia" w:ascii="仿宋" w:hAnsi="仿宋" w:eastAsia="仿宋" w:cs="仿宋"/>
          <w:b/>
          <w:bCs/>
          <w:kern w:val="2"/>
          <w:sz w:val="32"/>
          <w:szCs w:val="32"/>
        </w:rPr>
        <w:t>三是主动指导服务基层。</w:t>
      </w:r>
      <w:r>
        <w:rPr>
          <w:rFonts w:hint="eastAsia" w:ascii="仿宋" w:hAnsi="仿宋" w:eastAsia="仿宋" w:cs="仿宋"/>
          <w:kern w:val="2"/>
          <w:sz w:val="32"/>
          <w:szCs w:val="32"/>
        </w:rPr>
        <w:t>加强对县市区、市直部门指导，各县市区统计部门通过关</w:t>
      </w:r>
      <w:r>
        <w:rPr>
          <w:rFonts w:hint="eastAsia" w:ascii="仿宋" w:hAnsi="仿宋" w:eastAsia="仿宋" w:cs="仿宋"/>
          <w:sz w:val="32"/>
          <w:szCs w:val="32"/>
          <w:shd w:val="clear" w:color="auto" w:fill="FFFFFF"/>
        </w:rPr>
        <w:t>注企业经营动态，对营业收入、工资总额等重点指标开展常态化监测，通过定时沟通、定期走访等方式，分批次对重点企业进行走访和质量核查。采取分批次、分类型、分层级培训方式，加强对企业统计工作的业务培训。</w:t>
      </w:r>
      <w:r>
        <w:rPr>
          <w:rFonts w:hint="eastAsia" w:ascii="仿宋" w:hAnsi="仿宋" w:eastAsia="仿宋" w:cs="仿宋"/>
          <w:kern w:val="2"/>
          <w:sz w:val="32"/>
          <w:szCs w:val="32"/>
        </w:rPr>
        <w:t>通过开展统计业务指导，让基层调查单位对存在的问题能够做到早防范、早发现、早整改，从而为全市高质量发展提供坚实统计保障。</w:t>
      </w:r>
    </w:p>
    <w:p w14:paraId="26372780">
      <w:pPr>
        <w:pStyle w:val="5"/>
        <w:spacing w:before="0" w:beforeAutospacing="0" w:afterAutospacing="0" w:line="560" w:lineRule="exact"/>
        <w:ind w:firstLine="643" w:firstLineChars="200"/>
        <w:jc w:val="both"/>
        <w:textAlignment w:val="auto"/>
        <w:rPr>
          <w:rStyle w:val="12"/>
          <w:rFonts w:hint="eastAsia" w:ascii="楷体" w:hAnsi="楷体" w:eastAsia="楷体" w:cs="楷体"/>
          <w:b/>
          <w:kern w:val="2"/>
          <w:sz w:val="32"/>
          <w:szCs w:val="32"/>
        </w:rPr>
      </w:pPr>
      <w:r>
        <w:rPr>
          <w:rFonts w:hint="eastAsia" w:ascii="楷体" w:hAnsi="楷体" w:eastAsia="楷体" w:cs="楷体"/>
          <w:b/>
          <w:sz w:val="32"/>
          <w:szCs w:val="32"/>
        </w:rPr>
        <w:t>（三）狠</w:t>
      </w:r>
      <w:r>
        <w:rPr>
          <w:rFonts w:hint="eastAsia" w:ascii="楷体" w:hAnsi="楷体" w:eastAsia="楷体" w:cs="楷体"/>
          <w:b/>
          <w:bCs/>
          <w:sz w:val="32"/>
          <w:szCs w:val="32"/>
        </w:rPr>
        <w:t>抓重点工作，积极完成各项普查调查任务。</w:t>
      </w:r>
    </w:p>
    <w:p w14:paraId="49F8922F">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Style w:val="12"/>
          <w:rFonts w:hint="eastAsia" w:ascii="仿宋" w:hAnsi="仿宋" w:eastAsia="仿宋" w:cs="仿宋"/>
          <w:b/>
          <w:sz w:val="32"/>
          <w:szCs w:val="32"/>
        </w:rPr>
        <w:t>一是</w:t>
      </w:r>
      <w:r>
        <w:rPr>
          <w:rFonts w:hint="eastAsia" w:ascii="仿宋" w:hAnsi="仿宋" w:eastAsia="仿宋" w:cs="仿宋"/>
          <w:b/>
          <w:sz w:val="32"/>
          <w:szCs w:val="32"/>
        </w:rPr>
        <w:t>第七次全国人口普查工作获得圆满成功。</w:t>
      </w:r>
      <w:r>
        <w:rPr>
          <w:rFonts w:hint="eastAsia" w:ascii="仿宋" w:hAnsi="仿宋" w:eastAsia="仿宋" w:cs="仿宋"/>
          <w:sz w:val="32"/>
          <w:szCs w:val="32"/>
        </w:rPr>
        <w:t>市统计局在第一时间发布了全市第七次全国人口普查公报，对全市常住人口、户别人口、人口性别构成、人口年龄构成、各类受教育程度人口等人口普查主要数据进行了发布和解读。并就将可能出现的舆情，做好了有针对性的解读预案。对各县市区人口普查公报进行了认真审核。全市常住人口656万人，居湖南第三，城镇人口342万人，城镇化率与2010年第六次全国人口普查数据相比，提高19.32个百分点，达到52.16%，由全省第13位跃升至第8位，中西部地区第一位我</w:t>
      </w:r>
      <w:r>
        <w:rPr>
          <w:rFonts w:hint="eastAsia" w:ascii="仿宋" w:hAnsi="仿宋" w:eastAsia="仿宋" w:cs="仿宋"/>
          <w:bCs/>
          <w:sz w:val="32"/>
          <w:szCs w:val="32"/>
        </w:rPr>
        <w:t>局被评选为第</w:t>
      </w:r>
      <w:r>
        <w:rPr>
          <w:rFonts w:hint="eastAsia" w:ascii="仿宋" w:hAnsi="仿宋" w:eastAsia="仿宋" w:cs="仿宋"/>
          <w:sz w:val="32"/>
          <w:szCs w:val="32"/>
        </w:rPr>
        <w:t>七次全国人口普查国家级先进集体。</w:t>
      </w:r>
    </w:p>
    <w:p w14:paraId="781E9DC2">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二是各</w:t>
      </w:r>
      <w:r>
        <w:rPr>
          <w:rFonts w:hint="eastAsia" w:ascii="仿宋" w:hAnsi="仿宋" w:eastAsia="仿宋" w:cs="仿宋"/>
          <w:b/>
          <w:sz w:val="32"/>
          <w:szCs w:val="32"/>
        </w:rPr>
        <w:t>项常规统计调查分析工作，有力有序开展。</w:t>
      </w:r>
      <w:r>
        <w:rPr>
          <w:rFonts w:hint="eastAsia" w:ascii="仿宋" w:hAnsi="仿宋" w:eastAsia="仿宋" w:cs="仿宋"/>
          <w:sz w:val="32"/>
          <w:szCs w:val="32"/>
        </w:rPr>
        <w:t>认真组织实施好固定资产投资、规模工业、农林牧渔业、批发零售住宿餐饮业、房地产与建筑业、服务业、人口抽样调查工作等30多项常规调查统计，坚持“实事求是，不出假数，真实可信，准确完整”原则，规范统计数据填报，加强调查核实，深入企业、园区等基层开展调查，不断强化数据质量监督，有效提升统计数据质量。</w:t>
      </w:r>
    </w:p>
    <w:p w14:paraId="12895428">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三是精心组织，高标准完成各项民意调查工作。</w:t>
      </w:r>
      <w:r>
        <w:rPr>
          <w:rFonts w:hint="eastAsia" w:ascii="仿宋" w:hAnsi="仿宋" w:eastAsia="仿宋" w:cs="仿宋"/>
          <w:sz w:val="32"/>
          <w:szCs w:val="32"/>
        </w:rPr>
        <w:t>从调查方案的制定到样本框的设置、数据处理、组织实施等各个环节，都严格工作程序，力求精益求精，保证精、准、实反映社情民意，有力维护了民调结果的公正性、权威性。</w:t>
      </w:r>
      <w:r>
        <w:rPr>
          <w:rFonts w:hint="eastAsia" w:ascii="仿宋" w:hAnsi="仿宋" w:eastAsia="仿宋" w:cs="仿宋"/>
          <w:bCs/>
          <w:sz w:val="32"/>
          <w:szCs w:val="32"/>
        </w:rPr>
        <w:t>高质量完成“人才激励政策实施情况”、“</w:t>
      </w:r>
      <w:r>
        <w:rPr>
          <w:rFonts w:hint="eastAsia" w:ascii="仿宋" w:hAnsi="仿宋" w:eastAsia="仿宋" w:cs="仿宋"/>
          <w:bCs/>
          <w:sz w:val="32"/>
          <w:szCs w:val="32"/>
          <w:lang w:val="en-US" w:eastAsia="zh-CN"/>
        </w:rPr>
        <w:t>庆祝</w:t>
      </w:r>
      <w:r>
        <w:rPr>
          <w:rFonts w:hint="eastAsia" w:ascii="仿宋" w:hAnsi="仿宋" w:eastAsia="仿宋" w:cs="仿宋"/>
          <w:bCs/>
          <w:sz w:val="32"/>
          <w:szCs w:val="32"/>
        </w:rPr>
        <w:t>建党100周年‘心中有话对党说’”、“企业‘三高四新</w:t>
      </w:r>
      <w:r>
        <w:rPr>
          <w:rFonts w:hint="eastAsia" w:ascii="仿宋" w:hAnsi="仿宋" w:eastAsia="仿宋" w:cs="仿宋"/>
          <w:sz w:val="32"/>
          <w:szCs w:val="32"/>
        </w:rPr>
        <w:t>’战略落实情况”等省级民意调查项目。围绕市委市政府中心工作开展社会治安综合治理民意调查8项，完成有效样本63115个。</w:t>
      </w:r>
    </w:p>
    <w:p w14:paraId="538D0C41">
      <w:pPr>
        <w:widowControl/>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（四）着力推进统计现代化改革。</w:t>
      </w:r>
    </w:p>
    <w:p w14:paraId="384E1B5C">
      <w:pPr>
        <w:spacing w:line="560" w:lineRule="exact"/>
        <w:ind w:firstLine="643" w:firstLineChars="200"/>
        <w:rPr>
          <w:rFonts w:hint="eastAsia" w:ascii="仿宋" w:hAnsi="仿宋" w:eastAsia="仿宋" w:cs="仿宋"/>
          <w:b/>
          <w:bCs/>
          <w:sz w:val="32"/>
          <w:szCs w:val="32"/>
        </w:rPr>
      </w:pPr>
      <w:r>
        <w:rPr>
          <w:rStyle w:val="12"/>
          <w:rFonts w:hint="eastAsia" w:ascii="仿宋" w:hAnsi="仿宋" w:eastAsia="仿宋" w:cs="仿宋"/>
          <w:b/>
          <w:bCs/>
          <w:sz w:val="32"/>
          <w:szCs w:val="32"/>
        </w:rPr>
        <w:t>一是积极推进法人单位和产业活动单位并重的统计改革。</w:t>
      </w:r>
      <w:r>
        <w:rPr>
          <w:rStyle w:val="12"/>
          <w:rFonts w:hint="eastAsia" w:ascii="仿宋" w:hAnsi="仿宋" w:eastAsia="仿宋" w:cs="仿宋"/>
          <w:sz w:val="32"/>
          <w:szCs w:val="32"/>
        </w:rPr>
        <w:t>摸清法、产分离单位的行业分布和经营规模，提早分析预判改革影响，力求通过改革充分反映发展实际</w:t>
      </w:r>
      <w:r>
        <w:rPr>
          <w:rStyle w:val="12"/>
          <w:rFonts w:hint="eastAsia" w:ascii="仿宋" w:hAnsi="仿宋" w:eastAsia="仿宋" w:cs="仿宋"/>
          <w:b/>
          <w:bCs/>
          <w:sz w:val="32"/>
          <w:szCs w:val="32"/>
        </w:rPr>
        <w:t>。二是拓展统计调查领域。</w:t>
      </w:r>
      <w:r>
        <w:rPr>
          <w:rStyle w:val="12"/>
          <w:rFonts w:hint="eastAsia" w:ascii="仿宋" w:hAnsi="仿宋" w:eastAsia="仿宋" w:cs="仿宋"/>
          <w:sz w:val="32"/>
          <w:szCs w:val="32"/>
        </w:rPr>
        <w:t>开展“三新”经济核算、知识产权产品统计、新基建投资统计、服务业零售额测算、数字经济统计</w:t>
      </w:r>
      <w:r>
        <w:rPr>
          <w:rStyle w:val="12"/>
          <w:rFonts w:hint="eastAsia" w:ascii="仿宋" w:hAnsi="仿宋" w:eastAsia="仿宋" w:cs="仿宋"/>
          <w:b/>
          <w:bCs/>
          <w:sz w:val="32"/>
          <w:szCs w:val="32"/>
        </w:rPr>
        <w:t>。</w:t>
      </w:r>
      <w:r>
        <w:rPr>
          <w:rFonts w:hint="eastAsia" w:ascii="仿宋" w:hAnsi="仿宋" w:eastAsia="仿宋" w:cs="仿宋"/>
          <w:bCs/>
          <w:sz w:val="32"/>
          <w:szCs w:val="32"/>
        </w:rPr>
        <w:t>扎实做好中小企业、民营经济、文化产业增加值等衍生专业增加值的核算工作。</w:t>
      </w:r>
      <w:r>
        <w:rPr>
          <w:rStyle w:val="12"/>
          <w:rFonts w:hint="eastAsia" w:ascii="仿宋" w:hAnsi="仿宋" w:eastAsia="仿宋" w:cs="仿宋"/>
          <w:b/>
          <w:bCs/>
          <w:sz w:val="32"/>
          <w:szCs w:val="32"/>
        </w:rPr>
        <w:t>三是推进统计信息化。</w:t>
      </w:r>
      <w:r>
        <w:rPr>
          <w:rStyle w:val="12"/>
          <w:rFonts w:hint="eastAsia" w:ascii="仿宋" w:hAnsi="仿宋" w:eastAsia="仿宋" w:cs="仿宋"/>
          <w:sz w:val="32"/>
          <w:szCs w:val="32"/>
        </w:rPr>
        <w:t>推动建立宏观经济治理数据库，完善数据管理手段，提升统计信息化装备水平</w:t>
      </w:r>
      <w:r>
        <w:rPr>
          <w:rStyle w:val="12"/>
          <w:rFonts w:hint="eastAsia" w:ascii="仿宋" w:hAnsi="仿宋" w:eastAsia="仿宋" w:cs="仿宋"/>
          <w:b/>
          <w:bCs/>
          <w:sz w:val="32"/>
          <w:szCs w:val="32"/>
        </w:rPr>
        <w:t>。四是试编自然资源资产负债表和全市社会资产负债表。</w:t>
      </w:r>
      <w:r>
        <w:rPr>
          <w:rStyle w:val="12"/>
          <w:rFonts w:hint="eastAsia" w:ascii="仿宋" w:hAnsi="仿宋" w:eastAsia="仿宋" w:cs="仿宋"/>
          <w:sz w:val="32"/>
          <w:szCs w:val="32"/>
        </w:rPr>
        <w:t>与国土、林业、水利等部门配合共同做好试编工作</w:t>
      </w:r>
      <w:r>
        <w:rPr>
          <w:rStyle w:val="12"/>
          <w:rFonts w:hint="eastAsia" w:ascii="仿宋" w:hAnsi="仿宋" w:eastAsia="仿宋" w:cs="仿宋"/>
          <w:b/>
          <w:bCs/>
          <w:sz w:val="32"/>
          <w:szCs w:val="32"/>
        </w:rPr>
        <w:t>。五是继续做好地区生产总值核算改革。</w:t>
      </w:r>
      <w:r>
        <w:rPr>
          <w:rStyle w:val="12"/>
          <w:rFonts w:hint="eastAsia" w:ascii="仿宋" w:hAnsi="仿宋" w:eastAsia="仿宋" w:cs="仿宋"/>
          <w:sz w:val="32"/>
          <w:szCs w:val="32"/>
        </w:rPr>
        <w:t>强化数据分析和趋势把握，进一步提升GDP数据的匹配度。</w:t>
      </w:r>
      <w:r>
        <w:rPr>
          <w:rFonts w:hint="eastAsia" w:ascii="仿宋" w:hAnsi="仿宋" w:eastAsia="仿宋" w:cs="仿宋"/>
          <w:b/>
          <w:sz w:val="32"/>
          <w:szCs w:val="32"/>
        </w:rPr>
        <w:t>六是夯实核算数据质量，深入拓展部门统计联席会议机制。</w:t>
      </w:r>
      <w:r>
        <w:rPr>
          <w:rFonts w:hint="eastAsia" w:ascii="仿宋" w:hAnsi="仿宋" w:eastAsia="仿宋" w:cs="仿宋"/>
          <w:bCs/>
          <w:sz w:val="32"/>
          <w:szCs w:val="32"/>
        </w:rPr>
        <w:t>在原</w:t>
      </w:r>
      <w:r>
        <w:rPr>
          <w:rFonts w:hint="eastAsia" w:ascii="仿宋" w:hAnsi="仿宋" w:eastAsia="仿宋" w:cs="仿宋"/>
          <w:sz w:val="32"/>
          <w:szCs w:val="32"/>
        </w:rPr>
        <w:t>有部门统计联席会议机制的基础上，不断深入拓展部门统计数据月度联席会议，由市政府牵头，统计局汇报全市统计指标总体运行情况，各部门就相关指标的完成情况作出分析和说明，并就下阶段如何围绕市政府工作目标做好计划和安排，形成了政府综合统计为主体，部门统计相结合的大统计格局。</w:t>
      </w:r>
    </w:p>
    <w:p w14:paraId="5CD2B276">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（五）扎实推进企业退、入库工作，全市入规入统工作全省领先。</w:t>
      </w:r>
    </w:p>
    <w:p w14:paraId="171D52C8">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1-11月，</w:t>
      </w:r>
      <w:r>
        <w:rPr>
          <w:rFonts w:hint="eastAsia" w:ascii="仿宋" w:hAnsi="仿宋" w:eastAsia="仿宋" w:cs="仿宋"/>
          <w:sz w:val="32"/>
          <w:szCs w:val="32"/>
        </w:rPr>
        <w:t>全市在库“四上”单位4999家，总量仅次于长沙，居全省第二位。其中：工业1833家、建筑业252家、批发零售业1148家、住宿餐饮业257家、房地产业330家、规模以上服务业617家和5000万元以上投资项目法人单位562家</w:t>
      </w:r>
      <w:r>
        <w:rPr>
          <w:rFonts w:hint="eastAsia" w:ascii="仿宋" w:hAnsi="仿宋" w:eastAsia="仿宋" w:cs="仿宋"/>
          <w:bCs/>
          <w:sz w:val="32"/>
          <w:szCs w:val="32"/>
        </w:rPr>
        <w:t>。</w:t>
      </w:r>
    </w:p>
    <w:p w14:paraId="487818FD">
      <w:pPr>
        <w:pStyle w:val="6"/>
        <w:spacing w:after="0" w:line="560" w:lineRule="exact"/>
        <w:ind w:left="0" w:leftChars="0" w:firstLine="0" w:firstLineChars="0"/>
        <w:rPr>
          <w:rFonts w:hint="eastAsia" w:ascii="楷体" w:hAnsi="楷体" w:eastAsia="楷体" w:cs="楷体"/>
          <w:b/>
          <w:bCs/>
          <w:szCs w:val="32"/>
        </w:rPr>
      </w:pPr>
      <w:r>
        <w:rPr>
          <w:rFonts w:hint="eastAsia" w:ascii="仿宋" w:hAnsi="仿宋" w:eastAsia="仿宋" w:cs="仿宋"/>
          <w:b/>
          <w:bCs/>
          <w:szCs w:val="32"/>
        </w:rPr>
        <w:t xml:space="preserve">   </w:t>
      </w:r>
      <w:r>
        <w:rPr>
          <w:rFonts w:hint="eastAsia" w:ascii="楷体" w:hAnsi="楷体" w:eastAsia="楷体" w:cs="楷体"/>
          <w:b/>
          <w:bCs/>
          <w:szCs w:val="32"/>
        </w:rPr>
        <w:t xml:space="preserve"> （六）聚焦基层基础建设，夯实统计基础</w:t>
      </w:r>
    </w:p>
    <w:p w14:paraId="20D95C6C">
      <w:pPr>
        <w:spacing w:line="560" w:lineRule="exact"/>
        <w:ind w:firstLine="643" w:firstLineChars="200"/>
        <w:rPr>
          <w:rFonts w:hint="eastAsia" w:ascii="仿宋" w:hAnsi="仿宋" w:eastAsia="仿宋" w:cs="仿宋"/>
          <w:sz w:val="32"/>
          <w:szCs w:val="32"/>
        </w:rPr>
      </w:pPr>
      <w:r>
        <w:rPr>
          <w:rStyle w:val="12"/>
          <w:rFonts w:hint="eastAsia" w:ascii="仿宋" w:hAnsi="仿宋" w:eastAsia="仿宋" w:cs="仿宋"/>
          <w:b/>
          <w:bCs/>
          <w:sz w:val="32"/>
          <w:szCs w:val="32"/>
        </w:rPr>
        <w:t>一是扎实开展了统计基层基础工作调研。</w:t>
      </w:r>
      <w:r>
        <w:rPr>
          <w:rStyle w:val="12"/>
          <w:rFonts w:hint="eastAsia" w:ascii="仿宋" w:hAnsi="仿宋" w:eastAsia="仿宋" w:cs="仿宋"/>
          <w:sz w:val="32"/>
          <w:szCs w:val="32"/>
        </w:rPr>
        <w:t>11月，对全市统计队伍人员配备、机构编制基本情况、统计执法工作开展及人员配置情况、统计经费投入及保障情况、统计队伍年龄学历职称等情况进行全面调研，了解全市基层统计队伍现状和困难。</w:t>
      </w:r>
      <w:r>
        <w:rPr>
          <w:rFonts w:hint="eastAsia" w:ascii="仿宋" w:hAnsi="仿宋" w:eastAsia="仿宋" w:cs="仿宋"/>
          <w:sz w:val="32"/>
          <w:szCs w:val="32"/>
        </w:rPr>
        <w:t>市委、市政府领导听取调研汇报后，对基层统计工作进一步重视，加强了对基层统计人员和经费的保障。</w:t>
      </w:r>
    </w:p>
    <w:p w14:paraId="32AA8C4D">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二是加快基层统计规范化建设。</w:t>
      </w:r>
      <w:r>
        <w:rPr>
          <w:rFonts w:hint="eastAsia" w:ascii="仿宋" w:hAnsi="仿宋" w:eastAsia="仿宋" w:cs="仿宋"/>
          <w:sz w:val="32"/>
          <w:szCs w:val="32"/>
        </w:rPr>
        <w:t>进一步拓展基层统计示范点创建范围，巩固创建成果，在省级7个联系示范站建设的基础上，市级另选7个乡镇、街道、园区开展示范站点建设，并在市级财政为每个站点争取了专项工作经费3万元，共支出42万元。</w:t>
      </w:r>
    </w:p>
    <w:p w14:paraId="1F7E9E07">
      <w:pPr>
        <w:pStyle w:val="5"/>
        <w:spacing w:before="0" w:beforeAutospacing="0" w:afterAutospacing="0"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三是基层统计的培训指导有力。</w:t>
      </w:r>
      <w:r>
        <w:rPr>
          <w:rFonts w:hint="eastAsia" w:ascii="仿宋" w:hAnsi="仿宋" w:eastAsia="仿宋" w:cs="仿宋"/>
          <w:sz w:val="32"/>
          <w:szCs w:val="32"/>
        </w:rPr>
        <w:t>各专业全年累计开展业务培训会40余次，培训对象超2000人次；工业、贸易、投资等专业多次到县市区、乡镇统计站和企业一线，以座谈会、现场答疑等形式进行现场业务指导，并在邵东召开了工业统计现场会。有效提高了基层统计人员业务水平。</w:t>
      </w:r>
    </w:p>
    <w:p w14:paraId="2B22D547">
      <w:pPr>
        <w:widowControl/>
        <w:spacing w:line="560" w:lineRule="exact"/>
        <w:ind w:firstLine="643" w:firstLineChars="200"/>
        <w:jc w:val="left"/>
        <w:rPr>
          <w:rFonts w:hint="eastAsia" w:ascii="仿宋" w:hAnsi="仿宋" w:eastAsia="仿宋" w:cs="仿宋"/>
          <w:kern w:val="0"/>
          <w:sz w:val="32"/>
          <w:szCs w:val="32"/>
        </w:rPr>
      </w:pPr>
      <w:r>
        <w:rPr>
          <w:rFonts w:hint="eastAsia" w:ascii="仿宋" w:hAnsi="仿宋" w:eastAsia="仿宋" w:cs="仿宋"/>
          <w:b/>
          <w:bCs/>
          <w:sz w:val="32"/>
          <w:szCs w:val="32"/>
        </w:rPr>
        <w:t>四是</w:t>
      </w:r>
      <w:r>
        <w:rPr>
          <w:rFonts w:hint="eastAsia" w:ascii="仿宋" w:hAnsi="仿宋" w:eastAsia="仿宋" w:cs="仿宋"/>
          <w:b/>
          <w:kern w:val="0"/>
          <w:sz w:val="32"/>
          <w:szCs w:val="32"/>
        </w:rPr>
        <w:t>加快推进统计数据质量监管平台建设</w:t>
      </w:r>
      <w:r>
        <w:rPr>
          <w:rFonts w:hint="eastAsia" w:ascii="仿宋" w:hAnsi="仿宋" w:eastAsia="仿宋" w:cs="仿宋"/>
          <w:b/>
          <w:bCs/>
          <w:kern w:val="0"/>
          <w:sz w:val="32"/>
          <w:szCs w:val="32"/>
        </w:rPr>
        <w:t>，推进信息化系统建设进程。</w:t>
      </w:r>
      <w:r>
        <w:rPr>
          <w:rFonts w:hint="eastAsia" w:ascii="仿宋" w:hAnsi="仿宋" w:eastAsia="仿宋" w:cs="仿宋"/>
          <w:kern w:val="0"/>
          <w:sz w:val="32"/>
          <w:szCs w:val="32"/>
        </w:rPr>
        <w:t>顺利完成对服务器和终端电脑硬盘提速扩容、网站升级改版和国产化替代、二级等保复评等信息化建设工作，信息化基础设施不断完善，网络安全防护能力稳步提升。</w:t>
      </w:r>
    </w:p>
    <w:p w14:paraId="4517DC3D">
      <w:pPr>
        <w:spacing w:line="560" w:lineRule="exact"/>
        <w:ind w:firstLine="640" w:firstLineChars="200"/>
        <w:rPr>
          <w:rStyle w:val="12"/>
          <w:rFonts w:ascii="仿宋_GB2312" w:hAnsi="仿宋_GB2312" w:eastAsia="仿宋_GB2312"/>
          <w:sz w:val="32"/>
          <w:szCs w:val="32"/>
        </w:rPr>
      </w:pPr>
    </w:p>
    <w:p w14:paraId="2EA8D574">
      <w:pPr>
        <w:adjustRightInd w:val="0"/>
        <w:snapToGrid w:val="0"/>
        <w:spacing w:line="600" w:lineRule="exact"/>
        <w:ind w:firstLine="640" w:firstLineChars="200"/>
        <w:rPr>
          <w:rFonts w:eastAsia="黑体"/>
          <w:sz w:val="32"/>
          <w:szCs w:val="32"/>
        </w:rPr>
      </w:pPr>
      <w:r>
        <w:rPr>
          <w:rFonts w:hint="eastAsia" w:eastAsia="黑体"/>
          <w:sz w:val="32"/>
          <w:szCs w:val="32"/>
        </w:rPr>
        <w:t>五、综合评价情况及评价结论</w:t>
      </w:r>
    </w:p>
    <w:p w14:paraId="6DBFB1CD">
      <w:pPr>
        <w:widowControl/>
        <w:wordWrap w:val="0"/>
        <w:spacing w:before="156" w:after="156" w:line="400" w:lineRule="atLeast"/>
        <w:ind w:firstLine="480"/>
        <w:jc w:val="left"/>
        <w:rPr>
          <w:rFonts w:ascii="仿宋_GB2312" w:hAnsi="仿宋_GB2312" w:eastAsia="仿宋_GB2312"/>
          <w:bCs/>
          <w:color w:val="000000"/>
          <w:sz w:val="32"/>
          <w:szCs w:val="32"/>
        </w:rPr>
      </w:pPr>
      <w:r>
        <w:rPr>
          <w:rFonts w:ascii="仿宋_GB2312" w:hAnsi="仿宋_GB2312" w:eastAsia="仿宋_GB2312"/>
          <w:bCs/>
          <w:color w:val="000000"/>
          <w:sz w:val="32"/>
          <w:szCs w:val="32"/>
        </w:rPr>
        <w:t>通过自查，根据评分细则评分，得分</w:t>
      </w:r>
      <w:r>
        <w:rPr>
          <w:rFonts w:hint="eastAsia" w:ascii="仿宋_GB2312" w:hAnsi="仿宋_GB2312" w:eastAsia="仿宋_GB2312"/>
          <w:bCs/>
          <w:color w:val="000000"/>
          <w:sz w:val="32"/>
          <w:szCs w:val="32"/>
        </w:rPr>
        <w:t>96</w:t>
      </w:r>
      <w:r>
        <w:rPr>
          <w:rFonts w:ascii="仿宋_GB2312" w:hAnsi="仿宋_GB2312" w:eastAsia="仿宋_GB2312"/>
          <w:bCs/>
          <w:color w:val="000000"/>
          <w:sz w:val="32"/>
          <w:szCs w:val="32"/>
        </w:rPr>
        <w:t>分。本部门整体支出绩效良好，各项工作进行有序，但个别工作有待加强改进。</w:t>
      </w:r>
    </w:p>
    <w:p w14:paraId="68DCB6DE">
      <w:pPr>
        <w:adjustRightInd w:val="0"/>
        <w:snapToGrid w:val="0"/>
        <w:spacing w:line="600" w:lineRule="exact"/>
        <w:ind w:firstLine="640" w:firstLineChars="200"/>
        <w:rPr>
          <w:rFonts w:eastAsia="黑体"/>
          <w:sz w:val="32"/>
          <w:szCs w:val="32"/>
        </w:rPr>
      </w:pPr>
      <w:r>
        <w:rPr>
          <w:rFonts w:hint="eastAsia" w:eastAsia="黑体"/>
          <w:sz w:val="32"/>
          <w:szCs w:val="32"/>
        </w:rPr>
        <w:t>六、部门整体支出主要</w:t>
      </w:r>
      <w:r>
        <w:rPr>
          <w:rFonts w:eastAsia="黑体"/>
          <w:sz w:val="32"/>
          <w:szCs w:val="32"/>
        </w:rPr>
        <w:t>绩效</w:t>
      </w:r>
    </w:p>
    <w:p w14:paraId="0B5CA8BA">
      <w:pPr>
        <w:widowControl/>
        <w:wordWrap w:val="0"/>
        <w:spacing w:before="156" w:after="156" w:line="400" w:lineRule="atLeast"/>
        <w:ind w:firstLine="480"/>
        <w:jc w:val="left"/>
        <w:rPr>
          <w:rFonts w:eastAsia="仿宋_GB2312"/>
          <w:sz w:val="32"/>
          <w:szCs w:val="32"/>
        </w:rPr>
      </w:pPr>
      <w:r>
        <w:rPr>
          <w:rFonts w:hint="eastAsia" w:eastAsia="仿宋_GB2312"/>
          <w:sz w:val="32"/>
          <w:szCs w:val="32"/>
        </w:rPr>
        <w:t>我</w:t>
      </w:r>
      <w:r>
        <w:rPr>
          <w:rFonts w:eastAsia="仿宋_GB2312"/>
          <w:sz w:val="32"/>
          <w:szCs w:val="32"/>
        </w:rPr>
        <w:t>局在资产使用和支出管理方面取得了较好的成绩，但是由于历史原因和管理惯性，资产管理在体制、监管等方面存在以下不足：</w:t>
      </w:r>
      <w:r>
        <w:rPr>
          <w:rFonts w:hint="eastAsia" w:eastAsia="仿宋_GB2312"/>
          <w:sz w:val="32"/>
          <w:szCs w:val="32"/>
        </w:rPr>
        <w:t>1</w:t>
      </w:r>
      <w:r>
        <w:rPr>
          <w:rFonts w:eastAsia="仿宋_GB2312"/>
          <w:sz w:val="32"/>
          <w:szCs w:val="32"/>
        </w:rPr>
        <w:t>、固定资产管理效率还有待提高。资产管理的具体工作由办公室实施，但未配备专职的资产管理人员，一人多岗的现象长期存在。2、资产报废没有及时核销，造成帐实不符。</w:t>
      </w:r>
    </w:p>
    <w:p w14:paraId="0759ED95">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七、存在的问题</w:t>
      </w:r>
    </w:p>
    <w:p w14:paraId="5E431983">
      <w:pPr>
        <w:widowControl/>
        <w:wordWrap w:val="0"/>
        <w:spacing w:before="156" w:after="156" w:line="400" w:lineRule="atLeast"/>
        <w:ind w:firstLine="480"/>
        <w:jc w:val="left"/>
        <w:rPr>
          <w:rFonts w:eastAsia="仿宋_GB2312"/>
          <w:sz w:val="32"/>
          <w:szCs w:val="32"/>
        </w:rPr>
      </w:pPr>
      <w:r>
        <w:rPr>
          <w:rFonts w:eastAsia="仿宋_GB2312"/>
          <w:sz w:val="32"/>
          <w:szCs w:val="32"/>
        </w:rPr>
        <w:t>针对存在的问题我局将提出以下切实可行的改进措施和有关建议：1、</w:t>
      </w:r>
      <w:r>
        <w:rPr>
          <w:rFonts w:hint="eastAsia" w:eastAsia="仿宋_GB2312"/>
          <w:sz w:val="32"/>
          <w:szCs w:val="32"/>
        </w:rPr>
        <w:t>办公室</w:t>
      </w:r>
      <w:r>
        <w:rPr>
          <w:rFonts w:eastAsia="仿宋_GB2312"/>
          <w:sz w:val="32"/>
          <w:szCs w:val="32"/>
        </w:rPr>
        <w:t xml:space="preserve">做为资金的管理部门，要注重事前、事中、事后的全过程监督，实现全过程监督的完全转变。 </w:t>
      </w:r>
    </w:p>
    <w:p w14:paraId="63314EBB">
      <w:pPr>
        <w:widowControl/>
        <w:wordWrap w:val="0"/>
        <w:spacing w:before="156" w:after="156" w:line="400" w:lineRule="atLeast"/>
        <w:ind w:firstLine="480"/>
        <w:jc w:val="left"/>
        <w:rPr>
          <w:rFonts w:eastAsia="仿宋_GB2312"/>
          <w:sz w:val="32"/>
          <w:szCs w:val="32"/>
        </w:rPr>
      </w:pPr>
      <w:r>
        <w:rPr>
          <w:rFonts w:eastAsia="仿宋_GB2312"/>
          <w:sz w:val="32"/>
          <w:szCs w:val="32"/>
        </w:rPr>
        <w:t xml:space="preserve">2、资产报废应及时办理有关核销手续，每年对资产进行及时盘点和清查，真正做到帐实相符。 </w:t>
      </w:r>
    </w:p>
    <w:p w14:paraId="4DC421EB">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改进措施和有关建议</w:t>
      </w:r>
    </w:p>
    <w:p w14:paraId="0E98512C">
      <w:pPr>
        <w:adjustRightInd w:val="0"/>
        <w:snapToGrid w:val="0"/>
        <w:spacing w:line="600" w:lineRule="exact"/>
        <w:ind w:firstLine="640" w:firstLineChars="200"/>
        <w:rPr>
          <w:rFonts w:eastAsia="仿宋_GB2312"/>
          <w:sz w:val="32"/>
          <w:szCs w:val="32"/>
        </w:rPr>
      </w:pPr>
      <w:r>
        <w:rPr>
          <w:rFonts w:hint="eastAsia" w:eastAsia="仿宋_GB2312"/>
          <w:sz w:val="32"/>
          <w:szCs w:val="32"/>
        </w:rPr>
        <w:t>无</w:t>
      </w:r>
    </w:p>
    <w:p w14:paraId="5A83A1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yMjZhYWNjMGI5ZWMxZGYyOWIwMzYyNzQ0ZmQ0YTUifQ=="/>
  </w:docVars>
  <w:rsids>
    <w:rsidRoot w:val="00FD46AB"/>
    <w:rsid w:val="000677DD"/>
    <w:rsid w:val="001A4A6D"/>
    <w:rsid w:val="001C21F9"/>
    <w:rsid w:val="001E2F0B"/>
    <w:rsid w:val="001F7B8E"/>
    <w:rsid w:val="00263A64"/>
    <w:rsid w:val="003B211A"/>
    <w:rsid w:val="003B3783"/>
    <w:rsid w:val="004157A9"/>
    <w:rsid w:val="004301E8"/>
    <w:rsid w:val="004566D0"/>
    <w:rsid w:val="00553552"/>
    <w:rsid w:val="005F5D1E"/>
    <w:rsid w:val="0064313C"/>
    <w:rsid w:val="00651C75"/>
    <w:rsid w:val="006765E2"/>
    <w:rsid w:val="00731699"/>
    <w:rsid w:val="00752684"/>
    <w:rsid w:val="008D1924"/>
    <w:rsid w:val="0094523D"/>
    <w:rsid w:val="009C74B5"/>
    <w:rsid w:val="009E7538"/>
    <w:rsid w:val="009E7AD6"/>
    <w:rsid w:val="00A3312E"/>
    <w:rsid w:val="00AC727A"/>
    <w:rsid w:val="00AD5C00"/>
    <w:rsid w:val="00C55D2B"/>
    <w:rsid w:val="00C654AC"/>
    <w:rsid w:val="00CF021C"/>
    <w:rsid w:val="00D7741B"/>
    <w:rsid w:val="00DC6D80"/>
    <w:rsid w:val="00E8176F"/>
    <w:rsid w:val="00EB0611"/>
    <w:rsid w:val="00ED1AB1"/>
    <w:rsid w:val="00F173C0"/>
    <w:rsid w:val="00F23D83"/>
    <w:rsid w:val="00FD46AB"/>
    <w:rsid w:val="6CCD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textAlignment w:val="baseline"/>
    </w:pPr>
    <w:rPr>
      <w:rFonts w:ascii="Calibri" w:hAnsi="Calibri"/>
      <w:kern w:val="0"/>
      <w:sz w:val="24"/>
    </w:rPr>
  </w:style>
  <w:style w:type="paragraph" w:styleId="6">
    <w:name w:val="Body Text First Indent 2"/>
    <w:basedOn w:val="2"/>
    <w:link w:val="14"/>
    <w:qFormat/>
    <w:uiPriority w:val="0"/>
    <w:pPr>
      <w:widowControl/>
      <w:ind w:firstLine="420" w:firstLineChars="200"/>
      <w:textAlignment w:val="baseline"/>
    </w:pPr>
    <w:rPr>
      <w:rFonts w:ascii="Calibri" w:hAnsi="Calibri"/>
      <w:sz w:val="32"/>
    </w:r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Normal]"/>
    <w:qFormat/>
    <w:uiPriority w:val="6"/>
    <w:rPr>
      <w:rFonts w:ascii="宋体" w:hAnsi="宋体" w:eastAsia="宋体" w:cs="Times New Roman"/>
      <w:kern w:val="0"/>
      <w:sz w:val="24"/>
      <w:szCs w:val="20"/>
      <w:lang w:val="zh-CN" w:eastAsia="zh-CN" w:bidi="ar-SA"/>
    </w:rPr>
  </w:style>
  <w:style w:type="character" w:customStyle="1" w:styleId="12">
    <w:name w:val="NormalCharacter"/>
    <w:qFormat/>
    <w:uiPriority w:val="0"/>
    <w:rPr>
      <w:rFonts w:ascii="Times New Roman" w:hAnsi="Times New Roman" w:eastAsia="宋体"/>
    </w:rPr>
  </w:style>
  <w:style w:type="character" w:customStyle="1" w:styleId="13">
    <w:name w:val="正文文本缩进 Char"/>
    <w:basedOn w:val="8"/>
    <w:link w:val="2"/>
    <w:semiHidden/>
    <w:qFormat/>
    <w:uiPriority w:val="99"/>
    <w:rPr>
      <w:rFonts w:ascii="Times New Roman" w:hAnsi="Times New Roman" w:eastAsia="宋体" w:cs="Times New Roman"/>
      <w:szCs w:val="24"/>
    </w:rPr>
  </w:style>
  <w:style w:type="character" w:customStyle="1" w:styleId="14">
    <w:name w:val="正文首行缩进 2 Char"/>
    <w:basedOn w:val="13"/>
    <w:link w:val="6"/>
    <w:qFormat/>
    <w:uiPriority w:val="0"/>
    <w:rPr>
      <w:rFonts w:ascii="Calibri" w:hAnsi="Calibri"/>
      <w:sz w:val="32"/>
    </w:rPr>
  </w:style>
  <w:style w:type="paragraph" w:customStyle="1" w:styleId="15">
    <w:name w:val="样式 首行缩进:  2 字符"/>
    <w:basedOn w:val="1"/>
    <w:qFormat/>
    <w:uiPriority w:val="99"/>
    <w:pPr>
      <w:ind w:firstLine="48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2103</Words>
  <Characters>2279</Characters>
  <Lines>61</Lines>
  <Paragraphs>17</Paragraphs>
  <TotalTime>268</TotalTime>
  <ScaleCrop>false</ScaleCrop>
  <LinksUpToDate>false</LinksUpToDate>
  <CharactersWithSpaces>2300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2021-06-09T07:22:00Z</dcterms:created>
  <dc:creator>xcb_sy</dc:creator>
  <cp:lastModifiedBy>随风而起</cp:lastModifiedBy>
  <dcterms:modified xsi:type="dcterms:W3CDTF">2025-08-06T02:40:02Z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71368788A184494CA8DF683E2A72DCFE_12</vt:lpwstr>
  </property>
  <property fmtid="{D5CDD505-2E9C-101B-9397-08002B2CF9AE}" pid="4" name="KSOTemplateDocerSaveRecord">
    <vt:lpwstr>eyJoZGlkIjoiMzUyMGJjZGJkYTMxNmM2MGVkODM5NTNmZjk2YzllNDIiLCJ1c2VySWQiOiIyNzg1MzQ3NzgifQ==</vt:lpwstr>
  </property>
</Properties>
</file>