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pacing w:val="0"/>
          <w:sz w:val="28"/>
          <w:szCs w:val="28"/>
        </w:rPr>
        <w:t>附件: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邵阳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局柔性执法清单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1264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</w:rPr>
      </w:pPr>
    </w:p>
    <w:tbl>
      <w:tblPr>
        <w:tblStyle w:val="5"/>
        <w:tblW w:w="14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45"/>
        <w:gridCol w:w="6789"/>
        <w:gridCol w:w="1451"/>
        <w:gridCol w:w="1898"/>
        <w:gridCol w:w="939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违法行为</w:t>
            </w:r>
          </w:p>
        </w:tc>
        <w:tc>
          <w:tcPr>
            <w:tcW w:w="2386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处罚依据</w:t>
            </w:r>
          </w:p>
        </w:tc>
        <w:tc>
          <w:tcPr>
            <w:tcW w:w="510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处罚种类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适用情形</w:t>
            </w:r>
          </w:p>
        </w:tc>
        <w:tc>
          <w:tcPr>
            <w:tcW w:w="330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裁量幅度标准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迟报统计资料的行为</w:t>
            </w:r>
          </w:p>
        </w:tc>
        <w:tc>
          <w:tcPr>
            <w:tcW w:w="2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《湖南省统计局统计行政处罚裁量权基准》第十六条 迟报统计资料的行为裁量基准:（一）情节一般的情形：一年内第一次迟报统计资料的。处罚基准：对企业事业单位或者其他组织责令改正，给予警告，可以并处二千元以下罚款；对个体工商户责令改正，给予警告，可以并处二百元以下罚款。</w:t>
            </w:r>
          </w:p>
        </w:tc>
        <w:tc>
          <w:tcPr>
            <w:tcW w:w="5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责令改正给予警告罚款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一年内第一次迟报统计资料，违法行为轻微并及时改正，没有造成危害后果的。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不予处罚</w:t>
            </w:r>
          </w:p>
        </w:tc>
        <w:tc>
          <w:tcPr>
            <w:tcW w:w="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提供不真实的统计资料的行为</w:t>
            </w:r>
          </w:p>
        </w:tc>
        <w:tc>
          <w:tcPr>
            <w:tcW w:w="23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《中华人民共和国行政处罚法》​第32条：当事人有下列情形之一，应当从轻或者减轻行政处罚：（一）主动消除或者减轻违法行为危害后果的；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《湖南省统计局统计行政处罚裁量权基准》第四条 有下列情形之一，应当从轻或者减轻处罚：2.主动消除或者减轻统计违法行为危害后果的。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《湖南省统计局统计行政处罚裁量权基准》第九条 提供不真实的统计资料的行为裁量基准：（一）情节轻微的情形：违法比例在10%以下的。处罚基准：对企业事业单位或者其他组织责令改正，给予警告，可以予以通报。价值量指标违法额在五亿元以下的可不予罚款；违法额在五亿元以上的，可以并处一万元以下罚款。对个体工商户责令改正，给予警告，可以并处一千元以下罚款。（二）情节一般的情形：违法比例在10%以上30%以下的。处罚基准：对企业事业单位或者其他组织责令改正，给予警告，可以予以通报。价值量指标违法额在五千万元以下的可不予罚款；违法额在五千万元以上五亿元以下的，并处一万元以下罚款；违法额在五亿元以上的，并处一万元以上三万元以下罚款。对个体工商户责令改正，给予警告，并处一千元以下罚款。</w:t>
            </w:r>
          </w:p>
        </w:tc>
        <w:tc>
          <w:tcPr>
            <w:tcW w:w="5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责令改正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给予警告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罚款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违法比例在10%以下且价值量指标违法额在五亿元以下的，违法比例在10%以上30%以下且价值量指标违法额在五千万元以下，且采取措施主动消除或者减轻统计违法行为危害后果的。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从轻或减轻处罚</w:t>
            </w:r>
          </w:p>
        </w:tc>
        <w:tc>
          <w:tcPr>
            <w:tcW w:w="3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</w:t>
            </w:r>
          </w:p>
        </w:tc>
      </w:tr>
    </w:tbl>
    <w:p/>
    <w:tbl>
      <w:tblPr>
        <w:tblStyle w:val="5"/>
        <w:tblW w:w="14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45"/>
        <w:gridCol w:w="6789"/>
        <w:gridCol w:w="1451"/>
        <w:gridCol w:w="1898"/>
        <w:gridCol w:w="939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违法行为</w:t>
            </w:r>
          </w:p>
        </w:tc>
        <w:tc>
          <w:tcPr>
            <w:tcW w:w="23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处罚依据</w:t>
            </w:r>
          </w:p>
        </w:tc>
        <w:tc>
          <w:tcPr>
            <w:tcW w:w="5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处罚种类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适用情形</w:t>
            </w:r>
          </w:p>
        </w:tc>
        <w:tc>
          <w:tcPr>
            <w:tcW w:w="3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裁量幅度标准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66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提供不完整的统计资料的行为</w:t>
            </w:r>
          </w:p>
        </w:tc>
        <w:tc>
          <w:tcPr>
            <w:tcW w:w="2386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《中华人民共和国行政处罚法》​第32条：当事人有下列情形之一，应当从轻或者减轻行政处罚：（一）主动消除或者减轻违法行为危害后果的；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《湖南省统计局统计行政处罚裁量权基准》第四条 有下列情形之一，应当从轻或者减轻处罚：2.主动消除或者减轻统计违法行为危害后果的。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《湖南省统计局统计行政处罚裁量权基准》第十条 提供不完整的统计资料的行为裁量基准:（一）情节轻微的情形：同一张统计报表中应填而未填的指标笔数占应填指标笔数的10%以下的。处罚基准：对企业事业单位或者其他组织责令改正，给予警告，可以予以通报，可以并处一万元以下罚款；对个体工商户责令改正，给予警告，可以并处一千元以下罚款。</w:t>
            </w:r>
          </w:p>
        </w:tc>
        <w:tc>
          <w:tcPr>
            <w:tcW w:w="510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责令改正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给予警告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罚款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同一张统计报表中应填而未填的指标笔数占应填指标笔数的10%以下，且采取措施主动消除或者减轻违法行为危害后果的。</w:t>
            </w:r>
          </w:p>
        </w:tc>
        <w:tc>
          <w:tcPr>
            <w:tcW w:w="330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从轻或减轻处罚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yeqk/UAAAACAEAAA8AAAAAAAAAAQAgAAAAOAAAAGRycy9kb3ducmV2LnhtbFBLAQIU&#10;ABQAAAAIAIdO4kAmGtJu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TkyZmQ4ZDA3NzNiZmQ0MjViYWNiOWNmODZjMTQifQ=="/>
  </w:docVars>
  <w:rsids>
    <w:rsidRoot w:val="24BB6EFA"/>
    <w:rsid w:val="16403948"/>
    <w:rsid w:val="9BE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1411</Words>
  <Characters>1461</Characters>
  <Lines>0</Lines>
  <Paragraphs>0</Paragraphs>
  <TotalTime>2</TotalTime>
  <ScaleCrop>false</ScaleCrop>
  <LinksUpToDate>false</LinksUpToDate>
  <CharactersWithSpaces>1489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2023-07-07T09:09:00Z</dcterms:created>
  <dc:creator>小妮子</dc:creator>
  <cp:lastModifiedBy>sy701</cp:lastModifiedBy>
  <cp:lastPrinted>2023-07-07T09:36:00Z</cp:lastPrinted>
  <dcterms:modified xsi:type="dcterms:W3CDTF">2023-07-07T15:32:34Z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CEC55F78E90F4960A1B10FCC820948FD_11</vt:lpwstr>
  </property>
</Properties>
</file>